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1"/>
        </w:tabs>
        <w:jc w:val="left"/>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ab/>
      </w:r>
      <w:bookmarkStart w:id="0" w:name="_GoBack"/>
      <w:bookmarkEnd w:id="0"/>
      <w:r>
        <w:rPr>
          <w:rFonts w:hint="eastAsia" w:ascii="方正小标宋简体" w:hAnsi="方正小标宋简体" w:eastAsia="方正小标宋简体" w:cs="方正小标宋简体"/>
          <w:b w:val="0"/>
          <w:bCs w:val="0"/>
          <w:sz w:val="44"/>
          <w:szCs w:val="44"/>
        </w:rPr>
        <w:t>台州市椒灵江流域生态保护补偿方案</w:t>
      </w: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（征求意见稿）</w:t>
      </w:r>
    </w:p>
    <w:p>
      <w:pPr>
        <w:jc w:val="both"/>
        <w:rPr>
          <w:rFonts w:hint="eastAsia" w:ascii="仿宋_GB2312" w:hAnsi="仿宋_GB2312" w:eastAsia="仿宋_GB2312" w:cs="仿宋_GB2312"/>
          <w:b w:val="0"/>
          <w:bCs w:val="0"/>
          <w:sz w:val="32"/>
          <w:szCs w:val="32"/>
        </w:rPr>
      </w:pPr>
    </w:p>
    <w:p>
      <w:pPr>
        <w:ind w:firstLine="640" w:firstLineChars="200"/>
        <w:rPr>
          <w:rFonts w:hint="eastAsia" w:ascii="仿宋_GB2312" w:eastAsia="仿宋_GB2312"/>
          <w:sz w:val="32"/>
          <w:szCs w:val="32"/>
          <w:highlight w:val="none"/>
          <w:lang w:eastAsia="zh-CN"/>
        </w:rPr>
      </w:pPr>
      <w:r>
        <w:rPr>
          <w:rFonts w:hint="eastAsia" w:ascii="仿宋_GB2312" w:hAnsi="Verdana" w:eastAsia="仿宋_GB2312"/>
          <w:color w:val="000000"/>
          <w:sz w:val="32"/>
          <w:szCs w:val="32"/>
        </w:rPr>
        <w:t>为</w:t>
      </w:r>
      <w:r>
        <w:rPr>
          <w:rFonts w:hint="eastAsia" w:ascii="仿宋_GB2312" w:hAnsi="Verdana" w:eastAsia="仿宋_GB2312"/>
          <w:color w:val="000000"/>
          <w:sz w:val="32"/>
          <w:szCs w:val="32"/>
          <w:highlight w:val="none"/>
        </w:rPr>
        <w:t>建立</w:t>
      </w:r>
      <w:r>
        <w:rPr>
          <w:rFonts w:hint="eastAsia" w:ascii="仿宋_GB2312" w:hAnsi="Verdana" w:eastAsia="仿宋_GB2312"/>
          <w:color w:val="000000"/>
          <w:sz w:val="32"/>
          <w:szCs w:val="32"/>
          <w:highlight w:val="none"/>
          <w:lang w:eastAsia="zh-CN"/>
        </w:rPr>
        <w:t>并完善椒灵江</w:t>
      </w:r>
      <w:r>
        <w:rPr>
          <w:rFonts w:hint="eastAsia" w:ascii="仿宋_GB2312" w:hAnsi="Verdana" w:eastAsia="仿宋_GB2312"/>
          <w:color w:val="000000"/>
          <w:sz w:val="32"/>
          <w:szCs w:val="32"/>
          <w:highlight w:val="none"/>
        </w:rPr>
        <w:t>流域水环境生态补偿机制</w:t>
      </w:r>
      <w:r>
        <w:rPr>
          <w:rFonts w:hint="eastAsia" w:ascii="仿宋_GB2312" w:hAnsi="Verdana" w:eastAsia="仿宋_GB2312"/>
          <w:color w:val="000000"/>
          <w:sz w:val="32"/>
          <w:szCs w:val="32"/>
          <w:highlight w:val="none"/>
          <w:lang w:eastAsia="zh-CN"/>
        </w:rPr>
        <w:t>，</w:t>
      </w:r>
      <w:r>
        <w:rPr>
          <w:rFonts w:hint="eastAsia" w:ascii="仿宋_GB2312" w:hAnsi="Verdana" w:eastAsia="仿宋_GB2312"/>
          <w:color w:val="000000"/>
          <w:sz w:val="32"/>
          <w:szCs w:val="32"/>
          <w:highlight w:val="none"/>
        </w:rPr>
        <w:t>加强流域水环境保护</w:t>
      </w:r>
      <w:r>
        <w:rPr>
          <w:rFonts w:hint="eastAsia" w:ascii="仿宋_GB2312" w:hAnsi="Verdana" w:eastAsia="仿宋_GB2312"/>
          <w:color w:val="000000"/>
          <w:sz w:val="32"/>
          <w:szCs w:val="32"/>
          <w:highlight w:val="none"/>
          <w:lang w:eastAsia="zh-CN"/>
        </w:rPr>
        <w:t>，进一步做好“</w:t>
      </w:r>
      <w:r>
        <w:rPr>
          <w:rFonts w:hint="eastAsia" w:ascii="仿宋_GB2312" w:hAnsi="Verdana" w:eastAsia="仿宋_GB2312"/>
          <w:color w:val="000000"/>
          <w:sz w:val="32"/>
          <w:szCs w:val="32"/>
          <w:highlight w:val="none"/>
        </w:rPr>
        <w:t>污水零直排</w:t>
      </w:r>
      <w:r>
        <w:rPr>
          <w:rFonts w:hint="eastAsia" w:ascii="仿宋_GB2312" w:hAnsi="Verdana" w:eastAsia="仿宋_GB2312"/>
          <w:color w:val="000000"/>
          <w:sz w:val="32"/>
          <w:szCs w:val="32"/>
          <w:highlight w:val="none"/>
          <w:lang w:eastAsia="zh-CN"/>
        </w:rPr>
        <w:t>”建设</w:t>
      </w:r>
      <w:r>
        <w:rPr>
          <w:rFonts w:hint="eastAsia" w:ascii="仿宋_GB2312" w:hAnsi="Verdana" w:eastAsia="仿宋_GB2312"/>
          <w:color w:val="000000"/>
          <w:sz w:val="32"/>
          <w:szCs w:val="32"/>
          <w:highlight w:val="none"/>
        </w:rPr>
        <w:t>工作，实现流域经济社会全面协调可持续发展，</w:t>
      </w:r>
      <w:r>
        <w:rPr>
          <w:rFonts w:hint="eastAsia" w:ascii="仿宋_GB2312" w:eastAsia="仿宋_GB2312"/>
          <w:sz w:val="32"/>
          <w:szCs w:val="32"/>
          <w:highlight w:val="none"/>
        </w:rPr>
        <w:t>根据财政部等四部委《关于加快建立流域上下游横向生态保护补偿机制的指导意见》(财建〔2016〕928号)、</w:t>
      </w:r>
      <w:r>
        <w:rPr>
          <w:rFonts w:hint="eastAsia" w:ascii="仿宋_GB2312" w:eastAsia="仿宋_GB2312"/>
          <w:sz w:val="32"/>
          <w:szCs w:val="32"/>
          <w:highlight w:val="none"/>
          <w:lang w:eastAsia="zh-CN"/>
        </w:rPr>
        <w:t>《浙江省生态环境保护条例》《浙江省深化生态保护补偿制度改革的实施意见》</w:t>
      </w:r>
      <w:r>
        <w:rPr>
          <w:rFonts w:hint="eastAsia" w:ascii="仿宋_GB2312" w:eastAsia="仿宋_GB2312"/>
          <w:sz w:val="32"/>
          <w:szCs w:val="32"/>
          <w:highlight w:val="none"/>
        </w:rPr>
        <w:t>《浙江省人民政府办公厅关于</w:t>
      </w:r>
      <w:r>
        <w:rPr>
          <w:rFonts w:hint="eastAsia" w:ascii="仿宋_GB2312" w:eastAsia="仿宋_GB2312"/>
          <w:sz w:val="32"/>
          <w:szCs w:val="32"/>
          <w:highlight w:val="none"/>
          <w:lang w:eastAsia="zh-CN"/>
        </w:rPr>
        <w:t>实施新一轮</w:t>
      </w:r>
      <w:r>
        <w:rPr>
          <w:rFonts w:hint="eastAsia" w:ascii="仿宋_GB2312" w:eastAsia="仿宋_GB2312"/>
          <w:sz w:val="32"/>
          <w:szCs w:val="32"/>
          <w:highlight w:val="none"/>
        </w:rPr>
        <w:t>绿色发展财政奖补机制的若干意见》(浙政办发〔20</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21</w:t>
      </w:r>
      <w:r>
        <w:rPr>
          <w:rFonts w:hint="eastAsia" w:ascii="仿宋_GB2312" w:eastAsia="仿宋_GB2312"/>
          <w:sz w:val="32"/>
          <w:szCs w:val="32"/>
          <w:highlight w:val="none"/>
        </w:rPr>
        <w:t>号)及浙江省财政厅等四部门</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关于</w:t>
      </w:r>
      <w:r>
        <w:rPr>
          <w:rFonts w:hint="eastAsia" w:ascii="仿宋_GB2312" w:eastAsia="仿宋_GB2312"/>
          <w:sz w:val="32"/>
          <w:szCs w:val="32"/>
          <w:highlight w:val="none"/>
          <w:lang w:eastAsia="zh-CN"/>
        </w:rPr>
        <w:t>深化省内流域横向生态保护补偿机制的实施意见</w:t>
      </w:r>
      <w:r>
        <w:rPr>
          <w:rFonts w:hint="eastAsia" w:ascii="仿宋_GB2312" w:eastAsia="仿宋_GB2312"/>
          <w:sz w:val="32"/>
          <w:szCs w:val="32"/>
          <w:highlight w:val="none"/>
        </w:rPr>
        <w:t>》(浙财</w:t>
      </w:r>
      <w:r>
        <w:rPr>
          <w:rFonts w:hint="eastAsia" w:ascii="仿宋_GB2312" w:eastAsia="仿宋_GB2312"/>
          <w:sz w:val="32"/>
          <w:szCs w:val="32"/>
          <w:highlight w:val="none"/>
          <w:lang w:eastAsia="zh-CN"/>
        </w:rPr>
        <w:t>资环</w:t>
      </w: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22</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55</w:t>
      </w:r>
      <w:r>
        <w:rPr>
          <w:rFonts w:hint="eastAsia" w:ascii="仿宋_GB2312" w:eastAsia="仿宋_GB2312"/>
          <w:sz w:val="32"/>
          <w:szCs w:val="32"/>
          <w:highlight w:val="none"/>
        </w:rPr>
        <w:t>号)精神</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结合台州实际</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特制定椒灵江流域生态保护补偿方案。</w:t>
      </w:r>
    </w:p>
    <w:p>
      <w:pPr>
        <w:spacing w:line="560" w:lineRule="exact"/>
        <w:ind w:firstLine="630"/>
        <w:rPr>
          <w:rFonts w:hint="eastAsia" w:ascii="仿宋_GB2312" w:hAnsi="黑体" w:eastAsia="仿宋_GB2312"/>
          <w:sz w:val="32"/>
          <w:szCs w:val="32"/>
          <w:highlight w:val="none"/>
        </w:rPr>
      </w:pPr>
      <w:r>
        <w:rPr>
          <w:rFonts w:hint="eastAsia" w:ascii="黑体" w:hAnsi="黑体" w:eastAsia="黑体" w:cs="黑体"/>
          <w:sz w:val="32"/>
          <w:szCs w:val="32"/>
          <w:highlight w:val="none"/>
        </w:rPr>
        <w:t>一、指导思想</w:t>
      </w:r>
    </w:p>
    <w:p>
      <w:pPr>
        <w:spacing w:line="560" w:lineRule="exact"/>
        <w:ind w:firstLine="630"/>
        <w:rPr>
          <w:rFonts w:hint="eastAsia" w:ascii="仿宋_GB2312" w:eastAsia="仿宋_GB2312"/>
          <w:sz w:val="32"/>
          <w:szCs w:val="32"/>
          <w:highlight w:val="none"/>
        </w:rPr>
      </w:pPr>
      <w:r>
        <w:rPr>
          <w:rFonts w:hint="eastAsia" w:ascii="仿宋_GB2312" w:eastAsia="仿宋_GB2312"/>
          <w:sz w:val="32"/>
          <w:szCs w:val="32"/>
          <w:highlight w:val="none"/>
          <w:lang w:eastAsia="zh-CN"/>
        </w:rPr>
        <w:t>坚持以习近平生态文明思想为指导，全面贯彻党的十九大和十九届历次全会精神，立足新发展阶段，贯彻新发展理念，构建新发展格局，深入践行“两山”理念，忠实践行“八八战略”，</w:t>
      </w:r>
      <w:r>
        <w:rPr>
          <w:rFonts w:hint="eastAsia" w:ascii="仿宋_GB2312" w:eastAsia="仿宋_GB2312"/>
          <w:sz w:val="32"/>
          <w:szCs w:val="32"/>
          <w:highlight w:val="none"/>
        </w:rPr>
        <w:t>深化生态文明体制改革</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以椒灵江流域上下游经济社会协调可持续发展为主线</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以</w:t>
      </w:r>
      <w:r>
        <w:rPr>
          <w:rFonts w:hint="eastAsia" w:ascii="仿宋_GB2312" w:eastAsia="仿宋_GB2312"/>
          <w:sz w:val="32"/>
          <w:szCs w:val="32"/>
          <w:highlight w:val="none"/>
          <w:lang w:eastAsia="zh-CN"/>
        </w:rPr>
        <w:t>改善</w:t>
      </w:r>
      <w:r>
        <w:rPr>
          <w:rFonts w:hint="eastAsia" w:ascii="仿宋_GB2312" w:eastAsia="仿宋_GB2312"/>
          <w:sz w:val="32"/>
          <w:szCs w:val="32"/>
          <w:highlight w:val="none"/>
        </w:rPr>
        <w:t>流域水质</w:t>
      </w:r>
      <w:r>
        <w:rPr>
          <w:rFonts w:hint="eastAsia" w:ascii="仿宋_GB2312" w:eastAsia="仿宋_GB2312"/>
          <w:sz w:val="32"/>
          <w:szCs w:val="32"/>
          <w:highlight w:val="none"/>
          <w:lang w:eastAsia="zh-CN"/>
        </w:rPr>
        <w:t>和水资源综合管理</w:t>
      </w:r>
      <w:r>
        <w:rPr>
          <w:rFonts w:hint="eastAsia" w:ascii="仿宋_GB2312" w:eastAsia="仿宋_GB2312"/>
          <w:sz w:val="32"/>
          <w:szCs w:val="32"/>
          <w:highlight w:val="none"/>
        </w:rPr>
        <w:t>为主要目标，充分调动流域上下游地区的积极性</w:t>
      </w:r>
      <w:r>
        <w:rPr>
          <w:rFonts w:hint="eastAsia" w:ascii="仿宋_GB2312" w:eastAsia="仿宋_GB2312"/>
          <w:sz w:val="32"/>
          <w:szCs w:val="32"/>
          <w:highlight w:val="none"/>
          <w:lang w:eastAsia="zh-CN"/>
        </w:rPr>
        <w:t>，健全完善</w:t>
      </w:r>
      <w:r>
        <w:rPr>
          <w:rFonts w:hint="eastAsia" w:ascii="仿宋_GB2312" w:eastAsia="仿宋_GB2312"/>
          <w:sz w:val="32"/>
          <w:szCs w:val="32"/>
          <w:highlight w:val="none"/>
        </w:rPr>
        <w:t>流域保护和治理长效机制，进一步提升流域生态环境质量</w:t>
      </w:r>
      <w:r>
        <w:rPr>
          <w:rFonts w:hint="eastAsia" w:ascii="仿宋_GB2312" w:eastAsia="仿宋_GB2312"/>
          <w:sz w:val="32"/>
          <w:szCs w:val="32"/>
          <w:highlight w:val="none"/>
          <w:lang w:eastAsia="zh-CN"/>
        </w:rPr>
        <w:t>和经济社会发展水平。</w:t>
      </w:r>
    </w:p>
    <w:p>
      <w:pPr>
        <w:ind w:firstLine="640" w:firstLineChars="200"/>
        <w:rPr>
          <w:rFonts w:hint="eastAsia" w:ascii="仿宋_GB2312" w:hAnsi="黑体" w:eastAsia="仿宋_GB2312"/>
          <w:sz w:val="32"/>
          <w:szCs w:val="32"/>
          <w:highlight w:val="none"/>
        </w:rPr>
      </w:pPr>
      <w:r>
        <w:rPr>
          <w:rFonts w:hint="eastAsia" w:ascii="黑体" w:hAnsi="黑体" w:eastAsia="黑体" w:cs="黑体"/>
          <w:sz w:val="32"/>
          <w:szCs w:val="32"/>
          <w:highlight w:val="none"/>
        </w:rPr>
        <w:t>二、基本原则</w:t>
      </w:r>
    </w:p>
    <w:p>
      <w:pPr>
        <w:spacing w:line="560" w:lineRule="exact"/>
        <w:ind w:firstLine="630"/>
        <w:rPr>
          <w:rFonts w:hint="eastAsia" w:ascii="仿宋_GB2312" w:eastAsia="仿宋_GB2312"/>
          <w:sz w:val="32"/>
          <w:szCs w:val="32"/>
          <w:highlight w:val="none"/>
        </w:rPr>
      </w:pPr>
      <w:r>
        <w:rPr>
          <w:rFonts w:hint="eastAsia" w:ascii="楷体_GB2312" w:hAnsi="楷体_GB2312" w:eastAsia="楷体_GB2312" w:cs="楷体_GB2312"/>
          <w:sz w:val="32"/>
          <w:szCs w:val="32"/>
          <w:highlight w:val="none"/>
        </w:rPr>
        <w:t>(一)权责对等</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rPr>
        <w:t>合理补偿。</w:t>
      </w:r>
      <w:r>
        <w:rPr>
          <w:rFonts w:hint="eastAsia" w:ascii="仿宋_GB2312" w:hAnsi="仿宋_GB2312" w:eastAsia="仿宋_GB2312" w:cs="仿宋_GB2312"/>
          <w:sz w:val="32"/>
          <w:szCs w:val="32"/>
          <w:highlight w:val="none"/>
          <w:lang w:eastAsia="zh-CN"/>
        </w:rPr>
        <w:t>强化生态优先、绿色发展的理念，</w:t>
      </w:r>
      <w:r>
        <w:rPr>
          <w:rFonts w:hint="eastAsia" w:ascii="仿宋_GB2312" w:eastAsia="仿宋_GB2312"/>
          <w:sz w:val="32"/>
          <w:szCs w:val="32"/>
          <w:highlight w:val="none"/>
        </w:rPr>
        <w:t>妥善处理经济社会发展和环境保护、</w:t>
      </w:r>
      <w:r>
        <w:rPr>
          <w:rFonts w:hint="eastAsia" w:ascii="仿宋_GB2312" w:eastAsia="仿宋_GB2312"/>
          <w:sz w:val="32"/>
          <w:szCs w:val="32"/>
          <w:highlight w:val="none"/>
          <w:lang w:eastAsia="zh-CN"/>
        </w:rPr>
        <w:t>水</w:t>
      </w:r>
      <w:r>
        <w:rPr>
          <w:rFonts w:hint="eastAsia" w:ascii="仿宋_GB2312" w:eastAsia="仿宋_GB2312"/>
          <w:sz w:val="32"/>
          <w:szCs w:val="32"/>
          <w:highlight w:val="none"/>
        </w:rPr>
        <w:t>资源节约的关系</w:t>
      </w:r>
      <w:r>
        <w:rPr>
          <w:rFonts w:hint="eastAsia" w:ascii="仿宋_GB2312" w:eastAsia="仿宋_GB2312"/>
          <w:sz w:val="32"/>
          <w:szCs w:val="32"/>
          <w:highlight w:val="none"/>
          <w:lang w:eastAsia="zh-CN"/>
        </w:rPr>
        <w:t>，流域所在地人民政府承担水生态保护和治理责任。在此基础上，下游应充分尊重上游水质保护作出的努力，对上游提供良好生态产品付出的努力作出适当补偿，上游为出境水质恶化对下游予以补偿。</w:t>
      </w:r>
    </w:p>
    <w:p>
      <w:pPr>
        <w:ind w:firstLine="480" w:firstLineChars="150"/>
        <w:rPr>
          <w:rFonts w:hint="eastAsia" w:ascii="仿宋_GB2312" w:eastAsia="仿宋_GB2312"/>
          <w:sz w:val="32"/>
          <w:szCs w:val="32"/>
          <w:highlight w:val="none"/>
        </w:rPr>
      </w:pPr>
      <w:r>
        <w:rPr>
          <w:rFonts w:hint="eastAsia" w:ascii="仿宋_GB2312" w:eastAsia="仿宋_GB2312"/>
          <w:sz w:val="32"/>
          <w:szCs w:val="32"/>
          <w:highlight w:val="none"/>
        </w:rPr>
        <w:t xml:space="preserve"> </w:t>
      </w:r>
      <w:r>
        <w:rPr>
          <w:rFonts w:hint="eastAsia" w:ascii="楷体_GB2312" w:hAnsi="楷体_GB2312" w:eastAsia="楷体_GB2312" w:cs="楷体_GB2312"/>
          <w:sz w:val="32"/>
          <w:szCs w:val="32"/>
          <w:highlight w:val="none"/>
        </w:rPr>
        <w:t>(二)保持现状</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rPr>
        <w:t>稳中向好。</w:t>
      </w:r>
      <w:r>
        <w:rPr>
          <w:rFonts w:hint="eastAsia" w:ascii="仿宋_GB2312" w:eastAsia="仿宋_GB2312"/>
          <w:sz w:val="32"/>
          <w:szCs w:val="32"/>
          <w:highlight w:val="none"/>
        </w:rPr>
        <w:t>通过实施上下游的合理补偿</w:t>
      </w:r>
      <w:r>
        <w:rPr>
          <w:rFonts w:hint="eastAsia" w:ascii="仿宋_GB2312" w:eastAsia="仿宋_GB2312"/>
          <w:sz w:val="32"/>
          <w:szCs w:val="32"/>
          <w:highlight w:val="none"/>
          <w:lang w:eastAsia="zh-CN"/>
        </w:rPr>
        <w:t>，推进</w:t>
      </w:r>
      <w:r>
        <w:rPr>
          <w:rFonts w:hint="eastAsia" w:ascii="仿宋_GB2312" w:eastAsia="仿宋_GB2312"/>
          <w:sz w:val="32"/>
          <w:szCs w:val="32"/>
          <w:highlight w:val="none"/>
        </w:rPr>
        <w:t>流域生态环境</w:t>
      </w:r>
      <w:r>
        <w:rPr>
          <w:rFonts w:hint="eastAsia" w:ascii="仿宋_GB2312" w:eastAsia="仿宋_GB2312"/>
          <w:sz w:val="32"/>
          <w:szCs w:val="32"/>
          <w:highlight w:val="none"/>
          <w:lang w:eastAsia="zh-CN"/>
        </w:rPr>
        <w:t>综</w:t>
      </w:r>
      <w:r>
        <w:rPr>
          <w:rFonts w:hint="eastAsia" w:ascii="仿宋_GB2312" w:hAnsi="宋体" w:eastAsia="仿宋_GB2312" w:cs="宋体"/>
          <w:sz w:val="32"/>
          <w:szCs w:val="32"/>
          <w:highlight w:val="none"/>
        </w:rPr>
        <w:t>合整治</w:t>
      </w:r>
      <w:r>
        <w:rPr>
          <w:rFonts w:hint="eastAsia" w:ascii="仿宋_GB2312" w:hAnsi="宋体" w:eastAsia="仿宋_GB2312" w:cs="宋体"/>
          <w:sz w:val="32"/>
          <w:szCs w:val="32"/>
          <w:highlight w:val="none"/>
          <w:lang w:eastAsia="zh-CN"/>
        </w:rPr>
        <w:t>，</w:t>
      </w:r>
      <w:r>
        <w:rPr>
          <w:rFonts w:hint="eastAsia" w:ascii="仿宋_GB2312" w:eastAsia="仿宋_GB2312"/>
          <w:sz w:val="32"/>
          <w:szCs w:val="32"/>
          <w:highlight w:val="none"/>
        </w:rPr>
        <w:t>消除流域环境安全隐患</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确保现状水质基本稳定</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并力争有所改善</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通过持续推进产业转型升级和节水型社会建设</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持续提升水资源利用效率和效益</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持续提高单位水耗的产出率。</w:t>
      </w:r>
    </w:p>
    <w:p>
      <w:pPr>
        <w:spacing w:line="560" w:lineRule="exact"/>
        <w:ind w:firstLine="630"/>
        <w:rPr>
          <w:rFonts w:hint="eastAsia" w:ascii="仿宋_GB2312" w:eastAsia="仿宋_GB2312"/>
          <w:sz w:val="32"/>
          <w:szCs w:val="32"/>
          <w:highlight w:val="none"/>
        </w:rPr>
      </w:pPr>
      <w:r>
        <w:rPr>
          <w:rFonts w:hint="eastAsia" w:ascii="楷体_GB2312" w:hAnsi="楷体_GB2312" w:eastAsia="楷体_GB2312" w:cs="楷体_GB2312"/>
          <w:sz w:val="32"/>
          <w:szCs w:val="32"/>
          <w:highlight w:val="none"/>
        </w:rPr>
        <w:t>(三)地方</w:t>
      </w:r>
      <w:r>
        <w:rPr>
          <w:rFonts w:hint="eastAsia" w:ascii="楷体_GB2312" w:hAnsi="楷体_GB2312" w:eastAsia="楷体_GB2312" w:cs="楷体_GB2312"/>
          <w:bCs/>
          <w:sz w:val="32"/>
          <w:szCs w:val="32"/>
          <w:highlight w:val="none"/>
        </w:rPr>
        <w:t>为主，市级监管</w:t>
      </w:r>
      <w:r>
        <w:rPr>
          <w:rFonts w:hint="eastAsia" w:ascii="楷体_GB2312" w:hAnsi="楷体_GB2312" w:eastAsia="楷体_GB2312" w:cs="楷体_GB2312"/>
          <w:sz w:val="32"/>
          <w:szCs w:val="32"/>
          <w:highlight w:val="none"/>
        </w:rPr>
        <w:t>。</w:t>
      </w:r>
      <w:r>
        <w:rPr>
          <w:rFonts w:hint="eastAsia" w:ascii="仿宋_GB2312" w:eastAsia="仿宋_GB2312"/>
          <w:sz w:val="32"/>
          <w:szCs w:val="32"/>
          <w:highlight w:val="none"/>
        </w:rPr>
        <w:t>流域上下游县（市、区）</w:t>
      </w:r>
      <w:r>
        <w:rPr>
          <w:rFonts w:hint="eastAsia" w:ascii="仿宋_GB2312" w:eastAsia="仿宋_GB2312"/>
          <w:sz w:val="32"/>
          <w:szCs w:val="32"/>
          <w:highlight w:val="none"/>
          <w:lang w:eastAsia="zh-CN"/>
        </w:rPr>
        <w:t>人民</w:t>
      </w:r>
      <w:r>
        <w:rPr>
          <w:rFonts w:hint="eastAsia" w:ascii="仿宋_GB2312" w:eastAsia="仿宋_GB2312"/>
          <w:sz w:val="32"/>
          <w:szCs w:val="32"/>
          <w:highlight w:val="none"/>
        </w:rPr>
        <w:t>政府作为责任主体，通过自主协商，建立“生态保护协议制度”，通过签订协议明确各自的责任和义务</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市级相关部门在</w:t>
      </w:r>
      <w:r>
        <w:rPr>
          <w:rFonts w:hint="eastAsia" w:ascii="仿宋_GB2312" w:eastAsia="仿宋_GB2312"/>
          <w:sz w:val="32"/>
          <w:szCs w:val="32"/>
          <w:highlight w:val="none"/>
          <w:lang w:eastAsia="zh-CN"/>
        </w:rPr>
        <w:t>台州</w:t>
      </w:r>
      <w:r>
        <w:rPr>
          <w:rFonts w:hint="eastAsia" w:ascii="仿宋_GB2312" w:eastAsia="仿宋_GB2312"/>
          <w:sz w:val="32"/>
          <w:szCs w:val="32"/>
          <w:highlight w:val="none"/>
        </w:rPr>
        <w:t>市</w:t>
      </w:r>
      <w:r>
        <w:rPr>
          <w:rFonts w:hint="eastAsia" w:ascii="仿宋_GB2312" w:eastAsia="仿宋_GB2312"/>
          <w:sz w:val="32"/>
          <w:szCs w:val="32"/>
          <w:highlight w:val="none"/>
          <w:lang w:eastAsia="zh-CN"/>
        </w:rPr>
        <w:t>人民</w:t>
      </w:r>
      <w:r>
        <w:rPr>
          <w:rFonts w:hint="eastAsia" w:ascii="仿宋_GB2312" w:eastAsia="仿宋_GB2312"/>
          <w:sz w:val="32"/>
          <w:szCs w:val="32"/>
          <w:highlight w:val="none"/>
        </w:rPr>
        <w:t>政府的领导下</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对生态保护补偿政策实施给予指导，并对协议履行情况实施监管。</w:t>
      </w:r>
    </w:p>
    <w:p>
      <w:pPr>
        <w:ind w:firstLine="640" w:firstLineChars="200"/>
        <w:rPr>
          <w:rFonts w:hint="eastAsia" w:ascii="仿宋_GB2312" w:eastAsia="仿宋_GB2312"/>
          <w:sz w:val="32"/>
          <w:szCs w:val="32"/>
          <w:highlight w:val="none"/>
        </w:rPr>
      </w:pPr>
      <w:r>
        <w:rPr>
          <w:rFonts w:hint="eastAsia" w:ascii="楷体_GB2312" w:hAnsi="楷体_GB2312" w:eastAsia="楷体_GB2312" w:cs="楷体_GB2312"/>
          <w:sz w:val="32"/>
          <w:szCs w:val="32"/>
          <w:highlight w:val="none"/>
        </w:rPr>
        <w:t>(四)监测为据</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rPr>
        <w:t>以补促治。</w:t>
      </w:r>
      <w:r>
        <w:rPr>
          <w:rFonts w:hint="eastAsia" w:ascii="仿宋_GB2312" w:eastAsia="仿宋_GB2312"/>
          <w:sz w:val="32"/>
          <w:szCs w:val="32"/>
          <w:highlight w:val="none"/>
        </w:rPr>
        <w:t>以跨行政区域交接断面水质和</w:t>
      </w:r>
      <w:r>
        <w:rPr>
          <w:rFonts w:hint="eastAsia" w:ascii="仿宋_GB2312" w:eastAsia="仿宋_GB2312"/>
          <w:sz w:val="32"/>
          <w:szCs w:val="32"/>
          <w:highlight w:val="none"/>
          <w:lang w:eastAsia="zh-CN"/>
        </w:rPr>
        <w:t>水资源综合评价</w:t>
      </w:r>
      <w:r>
        <w:rPr>
          <w:rFonts w:hint="eastAsia" w:ascii="仿宋_GB2312" w:eastAsia="仿宋_GB2312"/>
          <w:sz w:val="32"/>
          <w:szCs w:val="32"/>
          <w:highlight w:val="none"/>
        </w:rPr>
        <w:t>为依据</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确定流域上下游补偿责任主体</w:t>
      </w:r>
      <w:r>
        <w:rPr>
          <w:rFonts w:hint="eastAsia" w:ascii="仿宋_GB2312" w:eastAsia="仿宋_GB2312"/>
          <w:sz w:val="32"/>
          <w:szCs w:val="32"/>
          <w:highlight w:val="none"/>
          <w:lang w:eastAsia="zh-CN"/>
        </w:rPr>
        <w:t>，</w:t>
      </w:r>
      <w:r>
        <w:rPr>
          <w:rFonts w:hint="eastAsia" w:ascii="仿宋_GB2312" w:eastAsia="仿宋_GB2312"/>
          <w:bCs/>
          <w:sz w:val="32"/>
          <w:szCs w:val="32"/>
          <w:highlight w:val="none"/>
        </w:rPr>
        <w:t>补偿资金专项用于椒灵江流域生态保护</w:t>
      </w:r>
      <w:r>
        <w:rPr>
          <w:rFonts w:hint="eastAsia" w:ascii="仿宋_GB2312" w:eastAsia="仿宋_GB2312"/>
          <w:sz w:val="32"/>
          <w:szCs w:val="32"/>
          <w:highlight w:val="none"/>
        </w:rPr>
        <w:t>。</w:t>
      </w:r>
    </w:p>
    <w:p>
      <w:pPr>
        <w:ind w:firstLine="640" w:firstLineChars="200"/>
        <w:rPr>
          <w:rFonts w:hint="eastAsia" w:ascii="仿宋_GB2312" w:hAnsi="黑体" w:eastAsia="仿宋_GB2312"/>
          <w:sz w:val="32"/>
          <w:szCs w:val="32"/>
          <w:highlight w:val="none"/>
        </w:rPr>
      </w:pPr>
      <w:r>
        <w:rPr>
          <w:rFonts w:hint="eastAsia" w:ascii="黑体" w:hAnsi="黑体" w:eastAsia="黑体" w:cs="黑体"/>
          <w:sz w:val="32"/>
          <w:szCs w:val="32"/>
          <w:highlight w:val="none"/>
        </w:rPr>
        <w:t>三、</w:t>
      </w:r>
      <w:r>
        <w:rPr>
          <w:rFonts w:hint="eastAsia" w:ascii="黑体" w:hAnsi="黑体" w:eastAsia="黑体" w:cs="黑体"/>
          <w:sz w:val="32"/>
          <w:szCs w:val="32"/>
          <w:highlight w:val="none"/>
          <w:lang w:eastAsia="zh-CN"/>
        </w:rPr>
        <w:t>主要内容</w:t>
      </w:r>
    </w:p>
    <w:p>
      <w:pPr>
        <w:spacing w:line="560" w:lineRule="exact"/>
        <w:ind w:firstLine="640" w:firstLineChars="200"/>
        <w:rPr>
          <w:rFonts w:hint="eastAsia" w:ascii="仿宋_GB2312" w:hAnsi="黑体" w:eastAsia="仿宋_GB2312"/>
          <w:sz w:val="32"/>
          <w:szCs w:val="32"/>
          <w:highlight w:val="none"/>
        </w:rPr>
      </w:pPr>
      <w:r>
        <w:rPr>
          <w:rFonts w:hint="eastAsia" w:ascii="仿宋_GB2312" w:hAnsi="Verdana" w:eastAsia="仿宋_GB2312"/>
          <w:color w:val="000000"/>
          <w:kern w:val="0"/>
          <w:sz w:val="32"/>
          <w:szCs w:val="32"/>
          <w:highlight w:val="none"/>
        </w:rPr>
        <w:t>本</w:t>
      </w:r>
      <w:r>
        <w:rPr>
          <w:rFonts w:hint="eastAsia" w:ascii="仿宋_GB2312" w:hAnsi="Verdana" w:eastAsia="仿宋_GB2312"/>
          <w:color w:val="000000"/>
          <w:kern w:val="0"/>
          <w:sz w:val="32"/>
          <w:szCs w:val="32"/>
          <w:highlight w:val="none"/>
          <w:lang w:eastAsia="zh-CN"/>
        </w:rPr>
        <w:t>方案</w:t>
      </w:r>
      <w:r>
        <w:rPr>
          <w:rFonts w:hint="eastAsia" w:ascii="仿宋_GB2312" w:hAnsi="Verdana" w:eastAsia="仿宋_GB2312"/>
          <w:color w:val="000000"/>
          <w:kern w:val="0"/>
          <w:sz w:val="32"/>
          <w:szCs w:val="32"/>
          <w:highlight w:val="none"/>
        </w:rPr>
        <w:t>适用于</w:t>
      </w:r>
      <w:r>
        <w:rPr>
          <w:rFonts w:hint="eastAsia" w:ascii="仿宋_GB2312" w:eastAsia="仿宋_GB2312"/>
          <w:sz w:val="32"/>
          <w:szCs w:val="32"/>
          <w:highlight w:val="none"/>
          <w:lang w:eastAsia="zh-CN"/>
        </w:rPr>
        <w:t>椒灵江</w:t>
      </w:r>
      <w:r>
        <w:rPr>
          <w:rFonts w:hint="eastAsia" w:ascii="仿宋_GB2312" w:eastAsia="仿宋_GB2312"/>
          <w:sz w:val="32"/>
          <w:szCs w:val="32"/>
          <w:highlight w:val="none"/>
        </w:rPr>
        <w:t>干流及较大支流的水环境生态补偿</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椒灵江流域涉及的县</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市、区</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包括仙居</w:t>
      </w:r>
      <w:r>
        <w:rPr>
          <w:rFonts w:hint="eastAsia" w:ascii="仿宋_GB2312" w:eastAsia="仿宋_GB2312"/>
          <w:sz w:val="32"/>
          <w:szCs w:val="32"/>
          <w:highlight w:val="none"/>
          <w:lang w:eastAsia="zh-CN"/>
        </w:rPr>
        <w:t>县</w:t>
      </w:r>
      <w:r>
        <w:rPr>
          <w:rFonts w:hint="eastAsia" w:ascii="仿宋_GB2312" w:eastAsia="仿宋_GB2312"/>
          <w:sz w:val="32"/>
          <w:szCs w:val="32"/>
          <w:highlight w:val="none"/>
        </w:rPr>
        <w:t>、天台</w:t>
      </w:r>
      <w:r>
        <w:rPr>
          <w:rFonts w:hint="eastAsia" w:ascii="仿宋_GB2312" w:eastAsia="仿宋_GB2312"/>
          <w:sz w:val="32"/>
          <w:szCs w:val="32"/>
          <w:highlight w:val="none"/>
          <w:lang w:eastAsia="zh-CN"/>
        </w:rPr>
        <w:t>县</w:t>
      </w:r>
      <w:r>
        <w:rPr>
          <w:rFonts w:hint="eastAsia" w:ascii="仿宋_GB2312" w:eastAsia="仿宋_GB2312"/>
          <w:sz w:val="32"/>
          <w:szCs w:val="32"/>
          <w:highlight w:val="none"/>
        </w:rPr>
        <w:t>、临海</w:t>
      </w:r>
      <w:r>
        <w:rPr>
          <w:rFonts w:hint="eastAsia" w:ascii="仿宋_GB2312" w:eastAsia="仿宋_GB2312"/>
          <w:sz w:val="32"/>
          <w:szCs w:val="32"/>
          <w:highlight w:val="none"/>
          <w:lang w:eastAsia="zh-CN"/>
        </w:rPr>
        <w:t>市</w:t>
      </w:r>
      <w:r>
        <w:rPr>
          <w:rFonts w:hint="eastAsia" w:ascii="仿宋_GB2312" w:eastAsia="仿宋_GB2312"/>
          <w:sz w:val="32"/>
          <w:szCs w:val="32"/>
          <w:highlight w:val="none"/>
        </w:rPr>
        <w:t>、黄岩</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、椒江</w:t>
      </w:r>
      <w:r>
        <w:rPr>
          <w:rFonts w:hint="eastAsia" w:ascii="仿宋_GB2312" w:eastAsia="仿宋_GB2312"/>
          <w:sz w:val="32"/>
          <w:szCs w:val="32"/>
          <w:highlight w:val="none"/>
          <w:lang w:eastAsia="zh-CN"/>
        </w:rPr>
        <w:t>区</w:t>
      </w:r>
      <w:r>
        <w:rPr>
          <w:rFonts w:hint="eastAsia" w:ascii="仿宋_GB2312" w:eastAsia="仿宋_GB2312"/>
          <w:sz w:val="32"/>
          <w:szCs w:val="32"/>
          <w:highlight w:val="none"/>
        </w:rPr>
        <w:t>5个县</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市、区</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ind w:firstLine="640" w:firstLineChars="200"/>
        <w:rPr>
          <w:rFonts w:hint="eastAsia" w:ascii="仿宋_GB2312" w:eastAsia="仿宋_GB2312"/>
          <w:b/>
          <w:sz w:val="32"/>
          <w:szCs w:val="32"/>
          <w:highlight w:val="none"/>
        </w:rPr>
      </w:pPr>
      <w:r>
        <w:rPr>
          <w:rFonts w:hint="eastAsia" w:ascii="楷体_GB2312" w:hAnsi="楷体_GB2312" w:eastAsia="楷体_GB2312" w:cs="楷体_GB2312"/>
          <w:b w:val="0"/>
          <w:bCs/>
          <w:sz w:val="32"/>
          <w:szCs w:val="32"/>
          <w:highlight w:val="none"/>
        </w:rPr>
        <w:t>(一)考核指标</w:t>
      </w:r>
    </w:p>
    <w:p>
      <w:p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考核指标包括水质和</w:t>
      </w:r>
      <w:r>
        <w:rPr>
          <w:rFonts w:hint="eastAsia" w:ascii="仿宋_GB2312" w:eastAsia="仿宋_GB2312"/>
          <w:sz w:val="32"/>
          <w:szCs w:val="32"/>
          <w:highlight w:val="none"/>
          <w:lang w:eastAsia="zh-CN"/>
        </w:rPr>
        <w:t>水资源综合评价，</w:t>
      </w:r>
      <w:r>
        <w:rPr>
          <w:rFonts w:hint="eastAsia" w:ascii="仿宋_GB2312" w:eastAsia="仿宋_GB2312"/>
          <w:sz w:val="32"/>
          <w:szCs w:val="32"/>
          <w:highlight w:val="none"/>
        </w:rPr>
        <w:t>水质以椒灵江流域涉及的县</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市、区</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跨行政区域交接断面监测</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高锰酸盐、氨氮、总磷</w:t>
      </w:r>
      <w:r>
        <w:rPr>
          <w:rFonts w:hint="eastAsia" w:ascii="仿宋_GB2312" w:eastAsia="仿宋_GB2312"/>
          <w:sz w:val="32"/>
          <w:szCs w:val="32"/>
          <w:highlight w:val="none"/>
          <w:lang w:eastAsia="zh-CN"/>
        </w:rPr>
        <w:t>、</w:t>
      </w:r>
      <w:r>
        <w:rPr>
          <w:rFonts w:hint="eastAsia" w:ascii="仿宋_GB2312" w:hAnsi="仿宋" w:eastAsia="仿宋_GB2312" w:cs="仿宋"/>
          <w:sz w:val="32"/>
          <w:szCs w:val="32"/>
          <w:highlight w:val="none"/>
        </w:rPr>
        <w:t>总氮</w:t>
      </w:r>
      <w:r>
        <w:rPr>
          <w:rFonts w:hint="eastAsia" w:ascii="仿宋_GB2312" w:eastAsia="仿宋_GB2312"/>
          <w:sz w:val="32"/>
          <w:szCs w:val="32"/>
          <w:highlight w:val="none"/>
          <w:lang w:eastAsia="zh-CN"/>
        </w:rPr>
        <w:t>数据</w:t>
      </w:r>
      <w:r>
        <w:rPr>
          <w:rFonts w:hint="eastAsia" w:ascii="仿宋_GB2312" w:eastAsia="仿宋_GB2312"/>
          <w:sz w:val="32"/>
          <w:szCs w:val="32"/>
          <w:highlight w:val="none"/>
        </w:rPr>
        <w:t>作为考核指标</w:t>
      </w:r>
      <w:r>
        <w:rPr>
          <w:rFonts w:hint="eastAsia" w:ascii="仿宋_GB2312" w:eastAsia="仿宋_GB2312"/>
          <w:sz w:val="32"/>
          <w:szCs w:val="32"/>
          <w:highlight w:val="none"/>
          <w:lang w:eastAsia="zh-CN"/>
        </w:rPr>
        <w:t>。水资源综合评价以水资源开发利用、节约、保护、管理等</w:t>
      </w:r>
      <w:r>
        <w:rPr>
          <w:rFonts w:hint="eastAsia" w:ascii="仿宋_GB2312" w:eastAsia="仿宋_GB2312"/>
          <w:sz w:val="32"/>
          <w:szCs w:val="32"/>
          <w:highlight w:val="none"/>
          <w:lang w:val="en-US" w:eastAsia="zh-CN"/>
        </w:rPr>
        <w:t>4项专项指数作为考核指标</w:t>
      </w:r>
      <w:r>
        <w:rPr>
          <w:rFonts w:hint="eastAsia" w:ascii="仿宋_GB2312" w:eastAsia="仿宋_GB2312"/>
          <w:sz w:val="32"/>
          <w:szCs w:val="32"/>
          <w:highlight w:val="none"/>
          <w:lang w:eastAsia="zh-CN"/>
        </w:rPr>
        <w:t>。</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生态补偿以水质和</w:t>
      </w:r>
      <w:r>
        <w:rPr>
          <w:rFonts w:hint="eastAsia" w:ascii="仿宋_GB2312" w:eastAsia="仿宋_GB2312"/>
          <w:sz w:val="32"/>
          <w:szCs w:val="32"/>
          <w:highlight w:val="none"/>
          <w:lang w:eastAsia="zh-CN"/>
        </w:rPr>
        <w:t>水资源综合评价</w:t>
      </w:r>
      <w:r>
        <w:rPr>
          <w:rFonts w:hint="eastAsia" w:ascii="仿宋_GB2312" w:eastAsia="仿宋_GB2312"/>
          <w:sz w:val="32"/>
          <w:szCs w:val="32"/>
          <w:highlight w:val="none"/>
        </w:rPr>
        <w:t>的指标结果为考核依据</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流域内各县（市、区）根据考核结果进行补偿。</w:t>
      </w:r>
      <w:r>
        <w:rPr>
          <w:rFonts w:hint="eastAsia" w:ascii="仿宋_GB2312" w:eastAsia="仿宋_GB2312"/>
          <w:sz w:val="32"/>
          <w:szCs w:val="32"/>
          <w:highlight w:val="none"/>
          <w:lang w:eastAsia="zh-CN"/>
        </w:rPr>
        <w:t>椒灵江</w:t>
      </w:r>
      <w:r>
        <w:rPr>
          <w:rFonts w:hint="eastAsia" w:ascii="仿宋_GB2312" w:eastAsia="仿宋_GB2312"/>
          <w:sz w:val="32"/>
          <w:szCs w:val="32"/>
          <w:highlight w:val="none"/>
        </w:rPr>
        <w:t>流域跨行政区域考核交接断面分别为：</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罗渡大桥（仙居与临海交界处）</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百步（天台与临海交界处）</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红光</w:t>
      </w:r>
      <w:r>
        <w:rPr>
          <w:rFonts w:hint="eastAsia" w:ascii="仿宋_GB2312" w:eastAsia="仿宋_GB2312"/>
          <w:sz w:val="32"/>
          <w:szCs w:val="32"/>
          <w:highlight w:val="none"/>
          <w:lang w:eastAsia="zh-CN"/>
        </w:rPr>
        <w:t>（西岑）</w:t>
      </w:r>
      <w:r>
        <w:rPr>
          <w:rFonts w:hint="eastAsia" w:ascii="仿宋_GB2312" w:eastAsia="仿宋_GB2312"/>
          <w:sz w:val="32"/>
          <w:szCs w:val="32"/>
          <w:highlight w:val="none"/>
        </w:rPr>
        <w:t>（临海与黄岩交界处）</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小普陀</w:t>
      </w:r>
      <w:r>
        <w:rPr>
          <w:rFonts w:hint="eastAsia" w:ascii="仿宋_GB2312" w:eastAsia="仿宋_GB2312"/>
          <w:sz w:val="32"/>
          <w:szCs w:val="32"/>
          <w:highlight w:val="none"/>
          <w:lang w:eastAsia="zh-CN"/>
        </w:rPr>
        <w:t>（栅浦）</w:t>
      </w:r>
      <w:r>
        <w:rPr>
          <w:rFonts w:hint="eastAsia" w:ascii="仿宋_GB2312" w:eastAsia="仿宋_GB2312"/>
          <w:sz w:val="32"/>
          <w:szCs w:val="32"/>
          <w:highlight w:val="none"/>
        </w:rPr>
        <w:t>（黄岩与椒江交界处）</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老鼠屿（椒江入海断面）</w:t>
      </w:r>
    </w:p>
    <w:p>
      <w:pPr>
        <w:ind w:firstLine="640" w:firstLineChars="200"/>
        <w:rPr>
          <w:rFonts w:hint="eastAsia" w:ascii="仿宋_GB2312" w:eastAsia="仿宋_GB2312"/>
          <w:b w:val="0"/>
          <w:bCs/>
          <w:sz w:val="32"/>
          <w:szCs w:val="32"/>
          <w:highlight w:val="none"/>
        </w:rPr>
      </w:pPr>
      <w:r>
        <w:rPr>
          <w:rFonts w:hint="eastAsia" w:ascii="楷体_GB2312" w:hAnsi="楷体_GB2312" w:eastAsia="楷体_GB2312" w:cs="楷体_GB2312"/>
          <w:b w:val="0"/>
          <w:bCs/>
          <w:sz w:val="32"/>
          <w:szCs w:val="32"/>
          <w:highlight w:val="none"/>
        </w:rPr>
        <w:t>(二)监测方法</w:t>
      </w:r>
    </w:p>
    <w:p>
      <w:pPr>
        <w:widowControl/>
        <w:ind w:firstLine="640" w:firstLineChars="200"/>
        <w:jc w:val="left"/>
        <w:rPr>
          <w:rFonts w:hint="eastAsia" w:ascii="仿宋_GB2312" w:eastAsia="仿宋_GB2312"/>
          <w:sz w:val="32"/>
          <w:szCs w:val="32"/>
          <w:highlight w:val="none"/>
          <w:lang w:val="en-US" w:eastAsia="zh-CN"/>
        </w:rPr>
      </w:pPr>
      <w:r>
        <w:rPr>
          <w:rFonts w:hint="eastAsia" w:ascii="仿宋_GB2312" w:hAnsi="仿宋" w:eastAsia="仿宋_GB2312" w:cs="仿宋"/>
          <w:kern w:val="0"/>
          <w:sz w:val="32"/>
          <w:szCs w:val="32"/>
          <w:highlight w:val="none"/>
          <w:lang w:bidi="ar"/>
        </w:rPr>
        <w:t>交接断面采用水质自动监测数据作为考核水质数据（红光、小普陀暂时分别以省控西岑、栅浦断面采测分离数据</w:t>
      </w:r>
      <w:r>
        <w:rPr>
          <w:rFonts w:hint="eastAsia" w:ascii="仿宋_GB2312" w:hAnsi="仿宋" w:eastAsia="仿宋_GB2312" w:cs="仿宋"/>
          <w:kern w:val="0"/>
          <w:sz w:val="32"/>
          <w:szCs w:val="32"/>
          <w:highlight w:val="none"/>
          <w:lang w:eastAsia="zh-CN" w:bidi="ar"/>
        </w:rPr>
        <w:t>为准，</w:t>
      </w:r>
      <w:r>
        <w:rPr>
          <w:rFonts w:hint="eastAsia" w:ascii="仿宋_GB2312" w:hAnsi="仿宋" w:eastAsia="仿宋_GB2312" w:cs="仿宋"/>
          <w:kern w:val="0"/>
          <w:sz w:val="32"/>
          <w:szCs w:val="32"/>
          <w:highlight w:val="none"/>
          <w:lang w:bidi="ar"/>
        </w:rPr>
        <w:t>待西岑、栅浦</w:t>
      </w:r>
      <w:r>
        <w:rPr>
          <w:rFonts w:hint="eastAsia" w:ascii="仿宋_GB2312" w:hAnsi="仿宋" w:eastAsia="仿宋_GB2312" w:cs="仿宋"/>
          <w:kern w:val="0"/>
          <w:sz w:val="32"/>
          <w:szCs w:val="32"/>
          <w:highlight w:val="none"/>
          <w:lang w:eastAsia="zh-CN" w:bidi="ar"/>
        </w:rPr>
        <w:t>水质</w:t>
      </w:r>
      <w:r>
        <w:rPr>
          <w:rFonts w:hint="eastAsia" w:ascii="仿宋_GB2312" w:hAnsi="仿宋" w:eastAsia="仿宋_GB2312" w:cs="仿宋"/>
          <w:kern w:val="0"/>
          <w:sz w:val="32"/>
          <w:szCs w:val="32"/>
          <w:highlight w:val="none"/>
          <w:lang w:bidi="ar"/>
        </w:rPr>
        <w:t>自动监测站建成后采用自动监测数据）。</w:t>
      </w:r>
      <w:r>
        <w:rPr>
          <w:rFonts w:hint="eastAsia" w:ascii="仿宋_GB2312" w:hAnsi="仿宋" w:eastAsia="仿宋_GB2312" w:cs="仿宋"/>
          <w:color w:val="auto"/>
          <w:kern w:val="0"/>
          <w:sz w:val="32"/>
          <w:szCs w:val="32"/>
          <w:highlight w:val="none"/>
          <w:lang w:bidi="ar"/>
        </w:rPr>
        <w:t>每年3月底前公布上一年</w:t>
      </w:r>
      <w:r>
        <w:rPr>
          <w:rFonts w:hint="eastAsia" w:ascii="仿宋_GB2312" w:hAnsi="仿宋" w:eastAsia="仿宋_GB2312" w:cs="仿宋"/>
          <w:color w:val="auto"/>
          <w:kern w:val="0"/>
          <w:sz w:val="32"/>
          <w:szCs w:val="32"/>
          <w:highlight w:val="none"/>
          <w:lang w:eastAsia="zh-CN" w:bidi="ar"/>
        </w:rPr>
        <w:t>度</w:t>
      </w:r>
      <w:r>
        <w:rPr>
          <w:rFonts w:hint="eastAsia" w:ascii="仿宋_GB2312" w:hAnsi="仿宋" w:eastAsia="仿宋_GB2312" w:cs="仿宋"/>
          <w:color w:val="auto"/>
          <w:kern w:val="0"/>
          <w:sz w:val="32"/>
          <w:szCs w:val="32"/>
          <w:highlight w:val="none"/>
          <w:lang w:bidi="ar"/>
        </w:rPr>
        <w:t>水质监测数据</w:t>
      </w:r>
      <w:r>
        <w:rPr>
          <w:rFonts w:hint="eastAsia" w:ascii="仿宋_GB2312" w:hAnsi="仿宋" w:eastAsia="仿宋_GB2312" w:cs="仿宋"/>
          <w:color w:val="auto"/>
          <w:kern w:val="0"/>
          <w:sz w:val="32"/>
          <w:szCs w:val="32"/>
          <w:highlight w:val="none"/>
          <w:lang w:eastAsia="zh-CN" w:bidi="ar"/>
        </w:rPr>
        <w:t>。</w:t>
      </w:r>
      <w:r>
        <w:rPr>
          <w:rFonts w:hint="eastAsia" w:ascii="仿宋_GB2312" w:hAnsi="仿宋" w:eastAsia="仿宋_GB2312" w:cs="仿宋"/>
          <w:kern w:val="0"/>
          <w:sz w:val="32"/>
          <w:szCs w:val="32"/>
          <w:highlight w:val="none"/>
          <w:lang w:bidi="ar"/>
        </w:rPr>
        <w:t>监测期间如遇不可抗力因素等导致水质异常波动时，由上下游县（市、区）申请浙江省台州生态环境监测中心会商研究。当两地对监测数据存在争议时</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kern w:val="0"/>
          <w:sz w:val="32"/>
          <w:szCs w:val="32"/>
          <w:highlight w:val="none"/>
          <w:lang w:bidi="ar"/>
        </w:rPr>
        <w:t>由</w:t>
      </w:r>
      <w:r>
        <w:rPr>
          <w:rFonts w:hint="eastAsia" w:ascii="仿宋_GB2312" w:hAnsi="仿宋" w:eastAsia="仿宋_GB2312" w:cs="仿宋"/>
          <w:kern w:val="0"/>
          <w:sz w:val="32"/>
          <w:szCs w:val="32"/>
          <w:highlight w:val="none"/>
          <w:lang w:eastAsia="zh-CN" w:bidi="ar"/>
        </w:rPr>
        <w:t>台州</w:t>
      </w:r>
      <w:r>
        <w:rPr>
          <w:rFonts w:hint="eastAsia" w:ascii="仿宋_GB2312" w:hAnsi="仿宋" w:eastAsia="仿宋_GB2312" w:cs="仿宋"/>
          <w:kern w:val="0"/>
          <w:sz w:val="32"/>
          <w:szCs w:val="32"/>
          <w:highlight w:val="none"/>
          <w:lang w:bidi="ar"/>
        </w:rPr>
        <w:t>市生态环境局组织仲裁</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kern w:val="0"/>
          <w:sz w:val="32"/>
          <w:szCs w:val="32"/>
          <w:highlight w:val="none"/>
          <w:lang w:bidi="ar"/>
        </w:rPr>
        <w:t>并以仲裁结果为准。</w:t>
      </w:r>
      <w:r>
        <w:rPr>
          <w:rFonts w:hint="eastAsia" w:ascii="仿宋_GB2312" w:hAnsi="仿宋" w:eastAsia="仿宋_GB2312" w:cs="仿宋"/>
          <w:kern w:val="0"/>
          <w:sz w:val="32"/>
          <w:szCs w:val="32"/>
          <w:highlight w:val="none"/>
          <w:lang w:eastAsia="zh-CN" w:bidi="ar"/>
        </w:rPr>
        <w:t>水资源综合评价</w:t>
      </w:r>
      <w:r>
        <w:rPr>
          <w:rFonts w:hint="eastAsia" w:ascii="仿宋_GB2312" w:eastAsia="仿宋_GB2312"/>
          <w:sz w:val="32"/>
          <w:szCs w:val="32"/>
          <w:highlight w:val="none"/>
        </w:rPr>
        <w:t>以台州市水资源公报核定数据</w:t>
      </w:r>
      <w:r>
        <w:rPr>
          <w:rFonts w:hint="eastAsia" w:ascii="仿宋_GB2312" w:hAnsi="仿宋" w:eastAsia="仿宋_GB2312" w:cs="仿宋"/>
          <w:kern w:val="0"/>
          <w:sz w:val="32"/>
          <w:szCs w:val="32"/>
          <w:highlight w:val="none"/>
          <w:lang w:bidi="ar"/>
        </w:rPr>
        <w:t>、</w:t>
      </w:r>
      <w:r>
        <w:rPr>
          <w:rFonts w:hint="eastAsia" w:ascii="仿宋_GB2312" w:hAnsi="仿宋" w:eastAsia="仿宋_GB2312" w:cs="仿宋"/>
          <w:kern w:val="0"/>
          <w:sz w:val="32"/>
          <w:szCs w:val="32"/>
          <w:highlight w:val="none"/>
          <w:lang w:eastAsia="zh-CN" w:bidi="ar"/>
        </w:rPr>
        <w:t>台州市统计局经济数据</w:t>
      </w:r>
      <w:r>
        <w:rPr>
          <w:rFonts w:hint="eastAsia" w:ascii="仿宋_GB2312" w:hAnsi="仿宋" w:eastAsia="仿宋_GB2312" w:cs="仿宋"/>
          <w:kern w:val="0"/>
          <w:sz w:val="32"/>
          <w:szCs w:val="32"/>
          <w:highlight w:val="none"/>
          <w:lang w:bidi="ar"/>
        </w:rPr>
        <w:t>、</w:t>
      </w:r>
      <w:r>
        <w:rPr>
          <w:rFonts w:hint="eastAsia" w:ascii="仿宋_GB2312" w:hAnsi="仿宋" w:eastAsia="仿宋_GB2312" w:cs="仿宋"/>
          <w:kern w:val="0"/>
          <w:sz w:val="32"/>
          <w:szCs w:val="32"/>
          <w:highlight w:val="none"/>
          <w:lang w:eastAsia="zh-CN" w:bidi="ar"/>
        </w:rPr>
        <w:t>最严格水资源管理制度考核排名结果及县级以上重要饮用水水源地安全保障达标评估结果</w:t>
      </w:r>
      <w:r>
        <w:rPr>
          <w:rFonts w:hint="eastAsia" w:ascii="仿宋_GB2312" w:eastAsia="仿宋_GB2312"/>
          <w:sz w:val="32"/>
          <w:szCs w:val="32"/>
          <w:highlight w:val="none"/>
        </w:rPr>
        <w:t>为准，有异议的，由</w:t>
      </w:r>
      <w:r>
        <w:rPr>
          <w:rFonts w:hint="eastAsia" w:ascii="仿宋_GB2312" w:eastAsia="仿宋_GB2312"/>
          <w:sz w:val="32"/>
          <w:szCs w:val="32"/>
          <w:highlight w:val="none"/>
          <w:lang w:eastAsia="zh-CN"/>
        </w:rPr>
        <w:t>台州</w:t>
      </w:r>
      <w:r>
        <w:rPr>
          <w:rFonts w:hint="eastAsia" w:ascii="仿宋_GB2312" w:eastAsia="仿宋_GB2312"/>
          <w:sz w:val="32"/>
          <w:szCs w:val="32"/>
          <w:highlight w:val="none"/>
        </w:rPr>
        <w:t>市水利局组织相关部门审定。</w:t>
      </w:r>
    </w:p>
    <w:p>
      <w:pPr>
        <w:ind w:firstLine="640" w:firstLineChars="200"/>
        <w:rPr>
          <w:rFonts w:hint="eastAsia" w:ascii="仿宋_GB2312" w:eastAsia="仿宋_GB2312"/>
          <w:b/>
          <w:sz w:val="32"/>
          <w:szCs w:val="32"/>
          <w:highlight w:val="none"/>
        </w:rPr>
      </w:pPr>
      <w:r>
        <w:rPr>
          <w:rFonts w:hint="eastAsia" w:ascii="楷体_GB2312" w:hAnsi="楷体_GB2312" w:eastAsia="楷体_GB2312" w:cs="楷体_GB2312"/>
          <w:b w:val="0"/>
          <w:bCs/>
          <w:sz w:val="32"/>
          <w:szCs w:val="32"/>
          <w:highlight w:val="none"/>
        </w:rPr>
        <w:t>(三)补偿资金</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椒灵江流域涉及的仙居县、天台县、临海市、黄岩区、椒江区</w:t>
      </w:r>
      <w:r>
        <w:rPr>
          <w:rFonts w:hint="eastAsia" w:ascii="仿宋_GB2312" w:eastAsia="仿宋_GB2312"/>
          <w:sz w:val="32"/>
          <w:szCs w:val="32"/>
          <w:highlight w:val="none"/>
          <w:lang w:eastAsia="zh-CN"/>
        </w:rPr>
        <w:t>分别以</w:t>
      </w:r>
      <w:r>
        <w:rPr>
          <w:rFonts w:hint="eastAsia" w:ascii="仿宋_GB2312" w:eastAsia="仿宋_GB2312"/>
          <w:sz w:val="32"/>
          <w:szCs w:val="32"/>
          <w:highlight w:val="none"/>
        </w:rPr>
        <w:t>800万元</w:t>
      </w:r>
      <w:r>
        <w:rPr>
          <w:rFonts w:hint="eastAsia" w:ascii="仿宋_GB2312" w:eastAsia="仿宋_GB2312"/>
          <w:sz w:val="32"/>
          <w:szCs w:val="32"/>
          <w:highlight w:val="none"/>
          <w:lang w:eastAsia="zh-CN"/>
        </w:rPr>
        <w:t>为基数出资</w:t>
      </w:r>
      <w:r>
        <w:rPr>
          <w:rFonts w:hint="eastAsia" w:ascii="仿宋_GB2312" w:eastAsia="仿宋_GB2312"/>
          <w:sz w:val="32"/>
          <w:szCs w:val="32"/>
          <w:highlight w:val="none"/>
        </w:rPr>
        <w:t>，市级</w:t>
      </w:r>
      <w:r>
        <w:rPr>
          <w:rFonts w:hint="eastAsia" w:ascii="仿宋_GB2312" w:eastAsia="仿宋_GB2312"/>
          <w:sz w:val="32"/>
          <w:szCs w:val="32"/>
          <w:highlight w:val="none"/>
          <w:lang w:eastAsia="zh-CN"/>
        </w:rPr>
        <w:t>以</w:t>
      </w:r>
      <w:r>
        <w:rPr>
          <w:rFonts w:hint="eastAsia" w:ascii="仿宋_GB2312" w:eastAsia="仿宋_GB2312"/>
          <w:sz w:val="32"/>
          <w:szCs w:val="32"/>
          <w:highlight w:val="none"/>
        </w:rPr>
        <w:t>1000万元</w:t>
      </w:r>
      <w:r>
        <w:rPr>
          <w:rFonts w:hint="eastAsia" w:ascii="仿宋_GB2312" w:eastAsia="仿宋_GB2312"/>
          <w:sz w:val="32"/>
          <w:szCs w:val="32"/>
          <w:highlight w:val="none"/>
          <w:lang w:eastAsia="zh-CN"/>
        </w:rPr>
        <w:t>为基数出资，县（市、区）和市级每年出资分别按</w:t>
      </w:r>
      <w:r>
        <w:rPr>
          <w:rFonts w:hint="eastAsia" w:ascii="仿宋_GB2312" w:eastAsia="仿宋_GB2312"/>
          <w:sz w:val="32"/>
          <w:szCs w:val="32"/>
          <w:highlight w:val="none"/>
          <w:lang w:val="en-US" w:eastAsia="zh-CN"/>
        </w:rPr>
        <w:t>40万元、50万元</w:t>
      </w:r>
      <w:r>
        <w:rPr>
          <w:rFonts w:hint="eastAsia" w:ascii="仿宋_GB2312" w:hAnsi="仿宋_GB2312" w:eastAsia="仿宋_GB2312" w:cs="仿宋_GB2312"/>
          <w:sz w:val="32"/>
          <w:szCs w:val="32"/>
          <w:highlight w:val="none"/>
          <w:lang w:val="en-US" w:eastAsia="zh-CN"/>
        </w:rPr>
        <w:t>的</w:t>
      </w:r>
      <w:r>
        <w:rPr>
          <w:rFonts w:hint="eastAsia" w:ascii="仿宋_GB2312" w:eastAsia="仿宋_GB2312"/>
          <w:sz w:val="32"/>
          <w:szCs w:val="32"/>
          <w:highlight w:val="none"/>
          <w:lang w:val="en-US" w:eastAsia="zh-CN"/>
        </w:rPr>
        <w:t>增长量增长，</w:t>
      </w:r>
      <w:r>
        <w:rPr>
          <w:rFonts w:hint="eastAsia" w:ascii="仿宋_GB2312" w:eastAsia="仿宋_GB2312"/>
          <w:sz w:val="32"/>
          <w:szCs w:val="32"/>
          <w:highlight w:val="none"/>
        </w:rPr>
        <w:t>共同设立椒灵江流</w:t>
      </w:r>
      <w:r>
        <w:rPr>
          <w:rFonts w:hint="eastAsia" w:ascii="仿宋_GB2312" w:eastAsia="仿宋_GB2312"/>
          <w:sz w:val="32"/>
          <w:szCs w:val="32"/>
          <w:highlight w:val="none"/>
          <w:lang w:eastAsia="zh-CN"/>
        </w:rPr>
        <w:t>域</w:t>
      </w:r>
      <w:r>
        <w:rPr>
          <w:rFonts w:hint="eastAsia" w:ascii="仿宋_GB2312" w:eastAsia="仿宋_GB2312"/>
          <w:sz w:val="32"/>
          <w:szCs w:val="32"/>
          <w:highlight w:val="none"/>
        </w:rPr>
        <w:t>上下游横向生态补偿资金</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用于椒灵江流</w:t>
      </w:r>
      <w:r>
        <w:rPr>
          <w:rFonts w:hint="eastAsia" w:ascii="仿宋_GB2312" w:eastAsia="仿宋_GB2312"/>
          <w:sz w:val="32"/>
          <w:szCs w:val="32"/>
          <w:highlight w:val="none"/>
          <w:lang w:eastAsia="zh-CN"/>
        </w:rPr>
        <w:t>域</w:t>
      </w:r>
      <w:r>
        <w:rPr>
          <w:rFonts w:hint="eastAsia" w:ascii="仿宋_GB2312" w:eastAsia="仿宋_GB2312"/>
          <w:sz w:val="32"/>
          <w:szCs w:val="32"/>
          <w:highlight w:val="none"/>
        </w:rPr>
        <w:t>上下游横向生态补偿和奖励。</w:t>
      </w:r>
    </w:p>
    <w:p>
      <w:pPr>
        <w:ind w:firstLine="640" w:firstLineChars="200"/>
        <w:rPr>
          <w:rFonts w:hint="eastAsia" w:ascii="仿宋_GB2312" w:hAnsi="仿宋_GB2312" w:eastAsia="仿宋_GB2312" w:cs="仿宋_GB2312"/>
          <w:sz w:val="32"/>
          <w:szCs w:val="32"/>
          <w:highlight w:val="yellow"/>
          <w:lang w:val="en" w:eastAsia="zh-CN"/>
        </w:rPr>
      </w:pPr>
      <w:r>
        <w:rPr>
          <w:rFonts w:hint="eastAsia" w:ascii="仿宋_GB2312" w:eastAsia="仿宋_GB2312"/>
          <w:sz w:val="32"/>
          <w:szCs w:val="32"/>
          <w:highlight w:val="none"/>
          <w:lang w:eastAsia="zh-CN"/>
        </w:rPr>
        <w:t>台州市</w:t>
      </w:r>
      <w:r>
        <w:rPr>
          <w:rFonts w:hint="eastAsia" w:ascii="仿宋_GB2312" w:eastAsia="仿宋_GB2312"/>
          <w:sz w:val="32"/>
          <w:szCs w:val="32"/>
          <w:highlight w:val="none"/>
        </w:rPr>
        <w:t>财政</w:t>
      </w:r>
      <w:r>
        <w:rPr>
          <w:rFonts w:hint="eastAsia" w:ascii="仿宋_GB2312" w:eastAsia="仿宋_GB2312"/>
          <w:sz w:val="32"/>
          <w:szCs w:val="32"/>
          <w:highlight w:val="none"/>
          <w:lang w:eastAsia="zh-CN"/>
        </w:rPr>
        <w:t>局</w:t>
      </w:r>
      <w:r>
        <w:rPr>
          <w:rFonts w:hint="eastAsia" w:ascii="仿宋_GB2312" w:eastAsia="仿宋_GB2312"/>
          <w:sz w:val="32"/>
          <w:szCs w:val="32"/>
          <w:highlight w:val="none"/>
        </w:rPr>
        <w:t>要在每年</w:t>
      </w:r>
      <w:r>
        <w:rPr>
          <w:rFonts w:hint="eastAsia" w:ascii="仿宋_GB2312" w:eastAsia="仿宋_GB2312"/>
          <w:sz w:val="32"/>
          <w:szCs w:val="32"/>
          <w:highlight w:val="none"/>
          <w:lang w:eastAsia="zh-CN"/>
        </w:rPr>
        <w:t>考核结束后，</w:t>
      </w:r>
      <w:r>
        <w:rPr>
          <w:rFonts w:hint="eastAsia" w:ascii="仿宋_GB2312" w:eastAsia="仿宋_GB2312"/>
          <w:sz w:val="32"/>
          <w:szCs w:val="32"/>
          <w:highlight w:val="none"/>
          <w:lang w:val="en-US" w:eastAsia="zh-CN"/>
        </w:rPr>
        <w:t>根据考核结果，通过体制结算和年终结算对资金进行调配</w:t>
      </w:r>
      <w:r>
        <w:rPr>
          <w:rFonts w:hint="eastAsia" w:ascii="仿宋_GB2312" w:eastAsia="仿宋_GB2312"/>
          <w:sz w:val="32"/>
          <w:szCs w:val="32"/>
          <w:highlight w:val="none"/>
        </w:rPr>
        <w:t>。</w:t>
      </w:r>
    </w:p>
    <w:p>
      <w:pPr>
        <w:ind w:firstLine="640" w:firstLineChars="200"/>
        <w:rPr>
          <w:rFonts w:hint="eastAsia" w:ascii="仿宋_GB2312" w:eastAsia="仿宋_GB2312"/>
          <w:b/>
          <w:sz w:val="32"/>
          <w:szCs w:val="32"/>
          <w:highlight w:val="none"/>
        </w:rPr>
      </w:pPr>
      <w:r>
        <w:rPr>
          <w:rFonts w:hint="eastAsia" w:ascii="楷体_GB2312" w:hAnsi="楷体_GB2312" w:eastAsia="楷体_GB2312" w:cs="楷体_GB2312"/>
          <w:b w:val="0"/>
          <w:bCs/>
          <w:sz w:val="32"/>
          <w:szCs w:val="32"/>
          <w:highlight w:val="none"/>
        </w:rPr>
        <w:t>(四)补偿方法</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补偿方法综合水质、</w:t>
      </w:r>
      <w:r>
        <w:rPr>
          <w:rFonts w:hint="eastAsia" w:ascii="仿宋_GB2312" w:eastAsia="仿宋_GB2312"/>
          <w:sz w:val="32"/>
          <w:szCs w:val="32"/>
          <w:highlight w:val="none"/>
          <w:lang w:eastAsia="zh-CN"/>
        </w:rPr>
        <w:t>水资源综合评价</w:t>
      </w:r>
      <w:r>
        <w:rPr>
          <w:rFonts w:hint="eastAsia" w:ascii="仿宋_GB2312" w:eastAsia="仿宋_GB2312"/>
          <w:sz w:val="32"/>
          <w:szCs w:val="32"/>
          <w:highlight w:val="none"/>
        </w:rPr>
        <w:t>等因素进行综合评价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确定补偿</w:t>
      </w:r>
      <w:r>
        <w:rPr>
          <w:rFonts w:hint="eastAsia" w:ascii="仿宋_GB2312" w:eastAsia="仿宋_GB2312"/>
          <w:sz w:val="32"/>
          <w:szCs w:val="32"/>
          <w:highlight w:val="none"/>
          <w:lang w:eastAsia="zh-CN"/>
        </w:rPr>
        <w:t>方向</w:t>
      </w:r>
      <w:r>
        <w:rPr>
          <w:rFonts w:hint="eastAsia" w:ascii="仿宋_GB2312" w:eastAsia="仿宋_GB2312"/>
          <w:sz w:val="32"/>
          <w:szCs w:val="32"/>
          <w:highlight w:val="none"/>
        </w:rPr>
        <w:t>和补偿资金</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具体测算方法如下：</w:t>
      </w:r>
    </w:p>
    <w:p>
      <w:pPr>
        <w:widowControl/>
        <w:numPr>
          <w:ilvl w:val="-1"/>
          <w:numId w:val="0"/>
        </w:numPr>
        <w:ind w:firstLine="640" w:firstLineChars="200"/>
        <w:jc w:val="left"/>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val="en-US" w:eastAsia="zh-CN" w:bidi="ar"/>
        </w:rPr>
        <w:t>1.</w:t>
      </w:r>
      <w:r>
        <w:rPr>
          <w:rFonts w:hint="eastAsia" w:ascii="仿宋_GB2312" w:hAnsi="仿宋" w:eastAsia="仿宋_GB2312" w:cs="仿宋"/>
          <w:kern w:val="0"/>
          <w:sz w:val="32"/>
          <w:szCs w:val="32"/>
          <w:highlight w:val="none"/>
          <w:lang w:bidi="ar"/>
        </w:rPr>
        <w:t>水质补偿指数P</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kern w:val="0"/>
          <w:sz w:val="32"/>
          <w:szCs w:val="32"/>
          <w:highlight w:val="none"/>
          <w:lang w:bidi="ar"/>
        </w:rPr>
        <w:t>测算补偿指数P</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kern w:val="0"/>
          <w:sz w:val="32"/>
          <w:szCs w:val="32"/>
          <w:highlight w:val="none"/>
          <w:lang w:bidi="ar"/>
        </w:rPr>
        <w:t>确定补偿方向。具体方法如下:</w:t>
      </w:r>
    </w:p>
    <w:p>
      <w:pPr>
        <w:widowControl/>
        <w:numPr>
          <w:ilvl w:val="-1"/>
          <w:numId w:val="0"/>
        </w:numPr>
        <w:ind w:firstLine="720" w:firstLineChars="200"/>
        <w:jc w:val="left"/>
        <w:rPr>
          <w:rFonts w:hint="eastAsia" w:ascii="仿宋_GB2312" w:hAnsi="仿宋" w:eastAsia="仿宋_GB2312" w:cs="仿宋"/>
          <w:sz w:val="32"/>
          <w:szCs w:val="32"/>
          <w:highlight w:val="none"/>
          <w:lang w:eastAsia="zh-CN"/>
        </w:rPr>
      </w:pPr>
      <w:r>
        <w:rPr>
          <w:rFonts w:hint="default" w:ascii="仿宋_GB2312" w:hAnsi="仿宋" w:eastAsia="仿宋_GB2312" w:cs="仿宋"/>
          <w:kern w:val="0"/>
          <w:sz w:val="36"/>
          <w:szCs w:val="36"/>
          <w:highlight w:val="none"/>
          <w:lang w:val="en" w:bidi="ar"/>
        </w:rPr>
        <w:t>P</w:t>
      </w:r>
      <w:r>
        <w:rPr>
          <w:rFonts w:hint="default" w:ascii="仿宋_GB2312" w:eastAsia="仿宋_GB2312"/>
          <w:sz w:val="36"/>
          <w:szCs w:val="36"/>
          <w:highlight w:val="none"/>
          <w:lang w:val="en"/>
        </w:rPr>
        <w:t>=</w:t>
      </w:r>
      <m:oMath>
        <m:sSub>
          <m:sSubPr>
            <m:ctrlPr>
              <w:rPr>
                <w:rFonts w:ascii="DejaVu Math TeX Gyre" w:hAnsi="DejaVu Math TeX Gyre"/>
                <w:i/>
                <w:sz w:val="36"/>
                <w:szCs w:val="36"/>
                <w:highlight w:val="none"/>
                <w:lang w:val="en"/>
              </w:rPr>
            </m:ctrlPr>
          </m:sSubPr>
          <m:e>
            <m:r>
              <w:rPr>
                <w:rFonts w:hint="default" w:ascii="DejaVu Math TeX Gyre" w:hAnsi="DejaVu Math TeX Gyre"/>
                <w:sz w:val="36"/>
                <w:szCs w:val="36"/>
                <w:highlight w:val="none"/>
                <w:lang w:val="en"/>
              </w:rPr>
              <m:t>k</m:t>
            </m:r>
            <m:ctrlPr>
              <w:rPr>
                <w:rFonts w:ascii="DejaVu Math TeX Gyre" w:hAnsi="DejaVu Math TeX Gyre"/>
                <w:i/>
                <w:sz w:val="36"/>
                <w:szCs w:val="36"/>
                <w:highlight w:val="none"/>
                <w:lang w:val="en"/>
              </w:rPr>
            </m:ctrlPr>
          </m:e>
          <m:sub>
            <m:r>
              <w:rPr>
                <w:rFonts w:hint="default" w:ascii="DejaVu Math TeX Gyre" w:hAnsi="DejaVu Math TeX Gyre"/>
                <w:sz w:val="36"/>
                <w:szCs w:val="36"/>
                <w:highlight w:val="none"/>
                <w:lang w:val="en"/>
              </w:rPr>
              <m:t>0</m:t>
            </m:r>
            <m:ctrlPr>
              <w:rPr>
                <w:rFonts w:ascii="DejaVu Math TeX Gyre" w:hAnsi="DejaVu Math TeX Gyre"/>
                <w:i/>
                <w:sz w:val="36"/>
                <w:szCs w:val="36"/>
                <w:highlight w:val="none"/>
                <w:lang w:val="en"/>
              </w:rPr>
            </m:ctrlPr>
          </m:sub>
        </m:sSub>
      </m:oMath>
      <w:r>
        <w:rPr>
          <w:rFonts w:hint="default" w:ascii="Calibri" w:hAnsi="DejaVu Math TeX Gyre"/>
          <w:i w:val="0"/>
          <w:sz w:val="36"/>
          <w:szCs w:val="36"/>
          <w:highlight w:val="none"/>
          <w:lang w:val="en"/>
        </w:rPr>
        <w:t xml:space="preserve">* </w:t>
      </w:r>
      <m:oMath>
        <m:nary>
          <m:naryPr>
            <m:chr m:val="∑"/>
            <m:limLoc m:val="subSup"/>
            <m:ctrlPr>
              <w:rPr>
                <w:rFonts w:ascii="DejaVu Math TeX Gyre" w:hAnsi="DejaVu Math TeX Gyre"/>
                <w:i/>
                <w:sz w:val="36"/>
                <w:szCs w:val="36"/>
                <w:highlight w:val="none"/>
                <w:lang w:val="en"/>
              </w:rPr>
            </m:ctrlPr>
          </m:naryPr>
          <m:sub>
            <m:r>
              <w:rPr>
                <w:rFonts w:hint="default" w:ascii="DejaVu Math TeX Gyre" w:hAnsi="DejaVu Math TeX Gyre"/>
                <w:sz w:val="36"/>
                <w:szCs w:val="36"/>
                <w:highlight w:val="none"/>
                <w:lang w:val="en"/>
              </w:rPr>
              <m:t>i=1</m:t>
            </m:r>
            <m:ctrlPr>
              <w:rPr>
                <w:rFonts w:ascii="DejaVu Math TeX Gyre" w:hAnsi="DejaVu Math TeX Gyre"/>
                <w:i/>
                <w:sz w:val="36"/>
                <w:szCs w:val="36"/>
                <w:highlight w:val="none"/>
                <w:lang w:val="en"/>
              </w:rPr>
            </m:ctrlPr>
          </m:sub>
          <m:sup>
            <m:r>
              <w:rPr>
                <w:rFonts w:hint="default" w:ascii="DejaVu Math TeX Gyre" w:hAnsi="DejaVu Math TeX Gyre"/>
                <w:sz w:val="36"/>
                <w:szCs w:val="36"/>
                <w:highlight w:val="none"/>
                <w:lang w:val="en"/>
              </w:rPr>
              <m:t>4</m:t>
            </m:r>
            <m:ctrlPr>
              <w:rPr>
                <w:rFonts w:ascii="DejaVu Math TeX Gyre" w:hAnsi="DejaVu Math TeX Gyre"/>
                <w:i/>
                <w:sz w:val="36"/>
                <w:szCs w:val="36"/>
                <w:highlight w:val="none"/>
                <w:lang w:val="en"/>
              </w:rPr>
            </m:ctrlPr>
          </m:sup>
          <m:e>
            <m:sSub>
              <m:sSubPr>
                <m:ctrlPr>
                  <w:rPr>
                    <w:rFonts w:ascii="DejaVu Math TeX Gyre" w:hAnsi="DejaVu Math TeX Gyre"/>
                    <w:i/>
                    <w:sz w:val="36"/>
                    <w:szCs w:val="36"/>
                    <w:highlight w:val="none"/>
                    <w:lang w:val="en"/>
                  </w:rPr>
                </m:ctrlPr>
              </m:sSubPr>
              <m:e>
                <m:r>
                  <w:rPr>
                    <w:rFonts w:hint="default" w:ascii="DejaVu Math TeX Gyre" w:hAnsi="DejaVu Math TeX Gyre"/>
                    <w:sz w:val="36"/>
                    <w:szCs w:val="36"/>
                    <w:highlight w:val="none"/>
                    <w:lang w:val="en"/>
                  </w:rPr>
                  <m:t>r</m:t>
                </m:r>
                <m:ctrlPr>
                  <w:rPr>
                    <w:rFonts w:ascii="DejaVu Math TeX Gyre" w:hAnsi="DejaVu Math TeX Gyre"/>
                    <w:i/>
                    <w:sz w:val="36"/>
                    <w:szCs w:val="36"/>
                    <w:highlight w:val="none"/>
                    <w:lang w:val="en"/>
                  </w:rPr>
                </m:ctrlPr>
              </m:e>
              <m:sub>
                <m:r>
                  <w:rPr>
                    <w:rFonts w:hint="default" w:ascii="DejaVu Math TeX Gyre" w:hAnsi="DejaVu Math TeX Gyre"/>
                    <w:sz w:val="36"/>
                    <w:szCs w:val="36"/>
                    <w:highlight w:val="none"/>
                    <w:lang w:val="en"/>
                  </w:rPr>
                  <m:t>i</m:t>
                </m:r>
                <m:ctrlPr>
                  <w:rPr>
                    <w:rFonts w:ascii="DejaVu Math TeX Gyre" w:hAnsi="DejaVu Math TeX Gyre"/>
                    <w:i/>
                    <w:sz w:val="36"/>
                    <w:szCs w:val="36"/>
                    <w:highlight w:val="none"/>
                    <w:lang w:val="en"/>
                  </w:rPr>
                </m:ctrlPr>
              </m:sub>
            </m:sSub>
            <m:ctrlPr>
              <w:rPr>
                <w:rFonts w:ascii="DejaVu Math TeX Gyre" w:hAnsi="DejaVu Math TeX Gyre"/>
                <w:i/>
                <w:sz w:val="36"/>
                <w:szCs w:val="36"/>
                <w:highlight w:val="none"/>
                <w:lang w:val="en"/>
              </w:rPr>
            </m:ctrlPr>
          </m:e>
        </m:nary>
        <m:box>
          <m:boxPr>
            <m:ctrlPr>
              <w:rPr>
                <w:rFonts w:ascii="DejaVu Math TeX Gyre" w:hAnsi="DejaVu Math TeX Gyre"/>
                <w:i/>
                <w:sz w:val="36"/>
                <w:szCs w:val="36"/>
                <w:highlight w:val="none"/>
                <w:lang w:val="en"/>
              </w:rPr>
            </m:ctrlPr>
          </m:boxPr>
          <m:e>
            <m:argPr>
              <m:argSz m:val="-1"/>
            </m:argPr>
            <m:f>
              <m:fPr>
                <m:ctrlPr>
                  <w:rPr>
                    <w:rFonts w:ascii="DejaVu Math TeX Gyre" w:hAnsi="DejaVu Math TeX Gyre"/>
                    <w:i/>
                    <w:sz w:val="36"/>
                    <w:szCs w:val="36"/>
                    <w:highlight w:val="none"/>
                    <w:lang w:val="en"/>
                  </w:rPr>
                </m:ctrlPr>
              </m:fPr>
              <m:num>
                <m:sSub>
                  <m:sSubPr>
                    <m:ctrlPr>
                      <w:rPr>
                        <w:rFonts w:ascii="DejaVu Math TeX Gyre" w:hAnsi="DejaVu Math TeX Gyre"/>
                        <w:i/>
                        <w:sz w:val="36"/>
                        <w:szCs w:val="36"/>
                        <w:highlight w:val="none"/>
                        <w:lang w:val="en"/>
                      </w:rPr>
                    </m:ctrlPr>
                  </m:sSubPr>
                  <m:e>
                    <m:r>
                      <w:rPr>
                        <w:rFonts w:hint="default" w:ascii="DejaVu Math TeX Gyre" w:hAnsi="DejaVu Math TeX Gyre"/>
                        <w:sz w:val="36"/>
                        <w:szCs w:val="36"/>
                        <w:highlight w:val="none"/>
                        <w:lang w:val="en"/>
                      </w:rPr>
                      <m:t>C</m:t>
                    </m:r>
                    <m:ctrlPr>
                      <w:rPr>
                        <w:rFonts w:ascii="DejaVu Math TeX Gyre" w:hAnsi="DejaVu Math TeX Gyre"/>
                        <w:i/>
                        <w:sz w:val="36"/>
                        <w:szCs w:val="36"/>
                        <w:highlight w:val="none"/>
                        <w:lang w:val="en"/>
                      </w:rPr>
                    </m:ctrlPr>
                  </m:e>
                  <m:sub>
                    <m:r>
                      <w:rPr>
                        <w:rFonts w:hint="default" w:ascii="DejaVu Math TeX Gyre" w:hAnsi="DejaVu Math TeX Gyre"/>
                        <w:sz w:val="36"/>
                        <w:szCs w:val="36"/>
                        <w:highlight w:val="none"/>
                        <w:lang w:val="en"/>
                      </w:rPr>
                      <m:t>i</m:t>
                    </m:r>
                    <m:ctrlPr>
                      <w:rPr>
                        <w:rFonts w:ascii="DejaVu Math TeX Gyre" w:hAnsi="DejaVu Math TeX Gyre"/>
                        <w:i/>
                        <w:sz w:val="36"/>
                        <w:szCs w:val="36"/>
                        <w:highlight w:val="none"/>
                        <w:lang w:val="en"/>
                      </w:rPr>
                    </m:ctrlPr>
                  </m:sub>
                </m:sSub>
                <m:ctrlPr>
                  <w:rPr>
                    <w:rFonts w:ascii="DejaVu Math TeX Gyre" w:hAnsi="DejaVu Math TeX Gyre"/>
                    <w:i/>
                    <w:sz w:val="36"/>
                    <w:szCs w:val="36"/>
                    <w:highlight w:val="none"/>
                    <w:lang w:val="en"/>
                  </w:rPr>
                </m:ctrlPr>
              </m:num>
              <m:den>
                <m:sSub>
                  <m:sSubPr>
                    <m:ctrlPr>
                      <w:rPr>
                        <w:rFonts w:ascii="DejaVu Math TeX Gyre" w:hAnsi="DejaVu Math TeX Gyre"/>
                        <w:i/>
                        <w:sz w:val="36"/>
                        <w:szCs w:val="36"/>
                        <w:highlight w:val="none"/>
                        <w:lang w:val="en"/>
                      </w:rPr>
                    </m:ctrlPr>
                  </m:sSubPr>
                  <m:e>
                    <m:r>
                      <w:rPr>
                        <w:rFonts w:hint="default" w:ascii="DejaVu Math TeX Gyre" w:hAnsi="DejaVu Math TeX Gyre"/>
                        <w:sz w:val="36"/>
                        <w:szCs w:val="36"/>
                        <w:highlight w:val="none"/>
                        <w:lang w:val="en"/>
                      </w:rPr>
                      <m:t>C</m:t>
                    </m:r>
                    <m:ctrlPr>
                      <w:rPr>
                        <w:rFonts w:ascii="DejaVu Math TeX Gyre" w:hAnsi="DejaVu Math TeX Gyre"/>
                        <w:i/>
                        <w:sz w:val="36"/>
                        <w:szCs w:val="36"/>
                        <w:highlight w:val="none"/>
                        <w:lang w:val="en"/>
                      </w:rPr>
                    </m:ctrlPr>
                  </m:e>
                  <m:sub>
                    <m:r>
                      <w:rPr>
                        <w:rFonts w:hint="default" w:ascii="DejaVu Math TeX Gyre" w:hAnsi="DejaVu Math TeX Gyre"/>
                        <w:sz w:val="36"/>
                        <w:szCs w:val="36"/>
                        <w:highlight w:val="none"/>
                        <w:lang w:val="en"/>
                      </w:rPr>
                      <m:t>i0</m:t>
                    </m:r>
                    <m:ctrlPr>
                      <w:rPr>
                        <w:rFonts w:ascii="DejaVu Math TeX Gyre" w:hAnsi="DejaVu Math TeX Gyre"/>
                        <w:i/>
                        <w:sz w:val="36"/>
                        <w:szCs w:val="36"/>
                        <w:highlight w:val="none"/>
                        <w:lang w:val="en"/>
                      </w:rPr>
                    </m:ctrlPr>
                  </m:sub>
                </m:sSub>
                <m:ctrlPr>
                  <w:rPr>
                    <w:rFonts w:ascii="DejaVu Math TeX Gyre" w:hAnsi="DejaVu Math TeX Gyre"/>
                    <w:i/>
                    <w:sz w:val="36"/>
                    <w:szCs w:val="36"/>
                    <w:highlight w:val="none"/>
                    <w:lang w:val="en"/>
                  </w:rPr>
                </m:ctrlPr>
              </m:den>
            </m:f>
            <m:ctrlPr>
              <w:rPr>
                <w:rFonts w:ascii="DejaVu Math TeX Gyre" w:hAnsi="DejaVu Math TeX Gyre"/>
                <w:i/>
                <w:sz w:val="36"/>
                <w:szCs w:val="36"/>
                <w:highlight w:val="none"/>
                <w:lang w:val="en"/>
              </w:rPr>
            </m:ctrlPr>
          </m:e>
        </m:box>
      </m:oMath>
      <w:r>
        <w:rPr>
          <w:rFonts w:hint="default" w:ascii="Calibri" w:hAnsi="DejaVu Math TeX Gyre"/>
          <w:i w:val="0"/>
          <w:sz w:val="36"/>
          <w:szCs w:val="36"/>
          <w:highlight w:val="none"/>
          <w:lang w:val="en"/>
        </w:rPr>
        <w:t xml:space="preserve">     </w:t>
      </w:r>
      <w:r>
        <w:rPr>
          <w:rFonts w:hint="eastAsia" w:ascii="仿宋_GB2312" w:hAnsi="仿宋" w:eastAsia="仿宋_GB2312" w:cs="仿宋"/>
          <w:kern w:val="0"/>
          <w:sz w:val="30"/>
          <w:szCs w:val="30"/>
          <w:highlight w:val="none"/>
          <w:lang w:bidi="ar"/>
        </w:rPr>
        <w:br w:type="textWrapping"/>
      </w:r>
      <w:r>
        <w:rPr>
          <w:rFonts w:hint="eastAsia" w:ascii="仿宋_GB2312" w:hAnsi="仿宋" w:eastAsia="仿宋_GB2312" w:cs="仿宋"/>
          <w:kern w:val="0"/>
          <w:sz w:val="30"/>
          <w:szCs w:val="30"/>
          <w:highlight w:val="none"/>
          <w:lang w:bidi="ar"/>
        </w:rPr>
        <w:t xml:space="preserve">   </w:t>
      </w:r>
      <w:r>
        <w:rPr>
          <w:rFonts w:hint="eastAsia" w:ascii="仿宋_GB2312" w:hAnsi="仿宋" w:eastAsia="仿宋_GB2312" w:cs="仿宋"/>
          <w:kern w:val="0"/>
          <w:sz w:val="32"/>
          <w:szCs w:val="32"/>
          <w:highlight w:val="none"/>
          <w:lang w:bidi="ar"/>
        </w:rPr>
        <w:t xml:space="preserve"> 式中:P</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kern w:val="0"/>
          <w:sz w:val="32"/>
          <w:szCs w:val="32"/>
          <w:highlight w:val="none"/>
          <w:lang w:bidi="ar"/>
        </w:rPr>
        <w:t>断面的补偿指数</w:t>
      </w:r>
      <w:r>
        <w:rPr>
          <w:rFonts w:hint="eastAsia" w:ascii="仿宋_GB2312" w:hAnsi="仿宋" w:eastAsia="仿宋_GB2312" w:cs="仿宋"/>
          <w:kern w:val="0"/>
          <w:sz w:val="32"/>
          <w:szCs w:val="32"/>
          <w:highlight w:val="none"/>
          <w:lang w:eastAsia="zh-CN" w:bidi="ar"/>
        </w:rPr>
        <w:t>。</w:t>
      </w:r>
    </w:p>
    <w:p>
      <w:pPr>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val="en-US" w:eastAsia="zh-CN" w:bidi="ar"/>
        </w:rPr>
        <w:t xml:space="preserve">     </w:t>
      </w:r>
      <w:r>
        <w:rPr>
          <w:rFonts w:hint="default" w:ascii="仿宋_GB2312" w:hAnsi="仿宋" w:eastAsia="仿宋_GB2312" w:cs="仿宋"/>
          <w:kern w:val="0"/>
          <w:sz w:val="32"/>
          <w:szCs w:val="32"/>
          <w:highlight w:val="none"/>
          <w:lang w:val="en" w:eastAsia="zh-CN" w:bidi="ar"/>
        </w:rPr>
        <w:t>k</w:t>
      </w:r>
      <w:r>
        <w:rPr>
          <w:rFonts w:hint="eastAsia" w:ascii="仿宋_GB2312" w:hAnsi="仿宋" w:eastAsia="仿宋_GB2312" w:cs="仿宋"/>
          <w:kern w:val="0"/>
          <w:sz w:val="32"/>
          <w:szCs w:val="32"/>
          <w:highlight w:val="none"/>
          <w:vertAlign w:val="subscript"/>
          <w:lang w:bidi="ar"/>
        </w:rPr>
        <w:t>0</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kern w:val="0"/>
          <w:sz w:val="32"/>
          <w:szCs w:val="32"/>
          <w:highlight w:val="none"/>
          <w:lang w:bidi="ar"/>
        </w:rPr>
        <w:t>水质稳定系数</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kern w:val="0"/>
          <w:sz w:val="32"/>
          <w:szCs w:val="32"/>
          <w:highlight w:val="none"/>
          <w:lang w:bidi="ar"/>
        </w:rPr>
        <w:t>考虑降雨径流等自然条件变化因素</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kern w:val="0"/>
          <w:sz w:val="32"/>
          <w:szCs w:val="32"/>
          <w:highlight w:val="none"/>
          <w:lang w:bidi="ar"/>
        </w:rPr>
        <w:t>k</w:t>
      </w:r>
      <w:r>
        <w:rPr>
          <w:rFonts w:hint="eastAsia" w:ascii="仿宋_GB2312" w:hAnsi="仿宋" w:eastAsia="仿宋_GB2312" w:cs="仿宋"/>
          <w:kern w:val="0"/>
          <w:sz w:val="32"/>
          <w:szCs w:val="32"/>
          <w:highlight w:val="none"/>
          <w:vertAlign w:val="subscript"/>
          <w:lang w:bidi="ar"/>
        </w:rPr>
        <w:t>0</w:t>
      </w:r>
      <w:r>
        <w:rPr>
          <w:rFonts w:hint="eastAsia" w:ascii="仿宋_GB2312" w:hAnsi="仿宋" w:eastAsia="仿宋_GB2312" w:cs="仿宋"/>
          <w:kern w:val="0"/>
          <w:sz w:val="32"/>
          <w:szCs w:val="32"/>
          <w:highlight w:val="none"/>
          <w:lang w:bidi="ar"/>
        </w:rPr>
        <w:t>取值0.85</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kern w:val="0"/>
          <w:sz w:val="32"/>
          <w:szCs w:val="32"/>
          <w:highlight w:val="none"/>
          <w:lang w:bidi="ar"/>
        </w:rPr>
        <w:br w:type="textWrapping"/>
      </w:r>
      <w:r>
        <w:rPr>
          <w:rFonts w:hint="eastAsia" w:ascii="仿宋_GB2312" w:hAnsi="仿宋" w:eastAsia="仿宋_GB2312" w:cs="仿宋"/>
          <w:kern w:val="0"/>
          <w:sz w:val="32"/>
          <w:szCs w:val="32"/>
          <w:highlight w:val="none"/>
          <w:lang w:bidi="ar"/>
        </w:rPr>
        <w:t xml:space="preserve">    </w:t>
      </w:r>
      <w:r>
        <w:rPr>
          <w:rFonts w:hint="eastAsia" w:ascii="仿宋_GB2312" w:hAnsi="仿宋" w:eastAsia="仿宋_GB2312" w:cs="仿宋"/>
          <w:kern w:val="0"/>
          <w:sz w:val="32"/>
          <w:szCs w:val="32"/>
          <w:highlight w:val="none"/>
          <w:lang w:val="en-US" w:eastAsia="zh-CN" w:bidi="ar"/>
        </w:rPr>
        <w:t xml:space="preserve">     </w:t>
      </w:r>
      <w:r>
        <w:rPr>
          <w:rFonts w:hint="default" w:ascii="仿宋_GB2312" w:hAnsi="仿宋" w:eastAsia="仿宋_GB2312" w:cs="仿宋"/>
          <w:kern w:val="0"/>
          <w:sz w:val="32"/>
          <w:szCs w:val="32"/>
          <w:highlight w:val="none"/>
          <w:lang w:val="en" w:bidi="ar"/>
        </w:rPr>
        <w:t>r</w:t>
      </w:r>
      <w:r>
        <w:rPr>
          <w:rFonts w:hint="eastAsia" w:ascii="仿宋_GB2312" w:hAnsi="仿宋" w:eastAsia="仿宋_GB2312" w:cs="仿宋"/>
          <w:kern w:val="0"/>
          <w:sz w:val="32"/>
          <w:szCs w:val="32"/>
          <w:highlight w:val="none"/>
          <w:vertAlign w:val="subscript"/>
          <w:lang w:bidi="ar"/>
        </w:rPr>
        <w:t>i</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kern w:val="0"/>
          <w:sz w:val="32"/>
          <w:szCs w:val="32"/>
          <w:highlight w:val="none"/>
          <w:lang w:bidi="ar"/>
        </w:rPr>
        <w:t>指标权重系数</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kern w:val="0"/>
          <w:sz w:val="32"/>
          <w:szCs w:val="32"/>
          <w:highlight w:val="none"/>
          <w:lang w:bidi="ar"/>
        </w:rPr>
        <w:t>按</w:t>
      </w:r>
      <w:r>
        <w:rPr>
          <w:rFonts w:hint="eastAsia" w:ascii="仿宋_GB2312" w:hAnsi="仿宋" w:eastAsia="仿宋_GB2312" w:cs="仿宋"/>
          <w:kern w:val="0"/>
          <w:sz w:val="32"/>
          <w:szCs w:val="32"/>
          <w:highlight w:val="none"/>
          <w:lang w:eastAsia="zh-CN" w:bidi="ar"/>
        </w:rPr>
        <w:t>四</w:t>
      </w:r>
      <w:r>
        <w:rPr>
          <w:rFonts w:hint="eastAsia" w:ascii="仿宋_GB2312" w:hAnsi="仿宋" w:eastAsia="仿宋_GB2312" w:cs="仿宋"/>
          <w:kern w:val="0"/>
          <w:sz w:val="32"/>
          <w:szCs w:val="32"/>
          <w:highlight w:val="none"/>
          <w:lang w:bidi="ar"/>
        </w:rPr>
        <w:t>项指标平均</w:t>
      </w:r>
      <w:r>
        <w:rPr>
          <w:rFonts w:hint="eastAsia" w:ascii="仿宋_GB2312" w:hAnsi="仿宋" w:eastAsia="仿宋_GB2312" w:cs="仿宋"/>
          <w:kern w:val="0"/>
          <w:sz w:val="32"/>
          <w:szCs w:val="32"/>
          <w:highlight w:val="none"/>
          <w:lang w:eastAsia="zh-CN" w:bidi="ar"/>
        </w:rPr>
        <w:t>，</w:t>
      </w:r>
      <w:r>
        <w:rPr>
          <w:rFonts w:hint="default" w:ascii="仿宋_GB2312" w:hAnsi="仿宋" w:eastAsia="仿宋_GB2312" w:cs="仿宋"/>
          <w:kern w:val="0"/>
          <w:sz w:val="32"/>
          <w:szCs w:val="32"/>
          <w:highlight w:val="none"/>
          <w:lang w:val="en" w:eastAsia="zh-CN" w:bidi="ar"/>
        </w:rPr>
        <w:t>r</w:t>
      </w:r>
      <w:r>
        <w:rPr>
          <w:rFonts w:hint="eastAsia" w:ascii="仿宋_GB2312" w:hAnsi="仿宋" w:eastAsia="仿宋_GB2312" w:cs="仿宋"/>
          <w:kern w:val="0"/>
          <w:sz w:val="32"/>
          <w:szCs w:val="32"/>
          <w:highlight w:val="none"/>
          <w:lang w:bidi="ar"/>
        </w:rPr>
        <w:t>取值0.</w:t>
      </w:r>
      <w:r>
        <w:rPr>
          <w:rFonts w:hint="eastAsia" w:ascii="仿宋_GB2312" w:hAnsi="仿宋" w:eastAsia="仿宋_GB2312" w:cs="仿宋"/>
          <w:kern w:val="0"/>
          <w:sz w:val="32"/>
          <w:szCs w:val="32"/>
          <w:highlight w:val="none"/>
          <w:lang w:val="en-US" w:eastAsia="zh-CN" w:bidi="ar"/>
        </w:rPr>
        <w:t>25</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kern w:val="0"/>
          <w:sz w:val="32"/>
          <w:szCs w:val="32"/>
          <w:highlight w:val="none"/>
          <w:lang w:bidi="ar"/>
        </w:rPr>
        <w:br w:type="textWrapping"/>
      </w:r>
      <w:r>
        <w:rPr>
          <w:rFonts w:hint="eastAsia" w:ascii="仿宋_GB2312" w:hAnsi="仿宋" w:eastAsia="仿宋_GB2312" w:cs="仿宋"/>
          <w:kern w:val="0"/>
          <w:sz w:val="32"/>
          <w:szCs w:val="32"/>
          <w:highlight w:val="none"/>
          <w:lang w:bidi="ar"/>
        </w:rPr>
        <w:t xml:space="preserve">    </w:t>
      </w:r>
      <w:r>
        <w:rPr>
          <w:rFonts w:hint="eastAsia" w:ascii="仿宋_GB2312" w:hAnsi="仿宋" w:eastAsia="仿宋_GB2312" w:cs="仿宋"/>
          <w:kern w:val="0"/>
          <w:sz w:val="32"/>
          <w:szCs w:val="32"/>
          <w:highlight w:val="none"/>
          <w:lang w:val="en-US" w:eastAsia="zh-CN" w:bidi="ar"/>
        </w:rPr>
        <w:t xml:space="preserve">     </w:t>
      </w:r>
      <w:r>
        <w:rPr>
          <w:rFonts w:hint="eastAsia" w:ascii="仿宋_GB2312" w:hAnsi="仿宋" w:eastAsia="仿宋_GB2312" w:cs="仿宋"/>
          <w:kern w:val="0"/>
          <w:sz w:val="32"/>
          <w:szCs w:val="32"/>
          <w:highlight w:val="none"/>
          <w:lang w:bidi="ar"/>
        </w:rPr>
        <w:t>C</w:t>
      </w:r>
      <w:r>
        <w:rPr>
          <w:rFonts w:hint="eastAsia" w:ascii="仿宋_GB2312" w:hAnsi="仿宋" w:eastAsia="仿宋_GB2312" w:cs="仿宋"/>
          <w:kern w:val="0"/>
          <w:sz w:val="32"/>
          <w:szCs w:val="32"/>
          <w:highlight w:val="none"/>
          <w:vertAlign w:val="subscript"/>
          <w:lang w:bidi="ar"/>
        </w:rPr>
        <w:t>i</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kern w:val="0"/>
          <w:sz w:val="32"/>
          <w:szCs w:val="32"/>
          <w:highlight w:val="none"/>
          <w:lang w:bidi="ar"/>
        </w:rPr>
        <w:t>某项指标的年均浓度值。</w:t>
      </w:r>
      <w:r>
        <w:rPr>
          <w:rFonts w:hint="eastAsia" w:ascii="仿宋_GB2312" w:hAnsi="仿宋" w:eastAsia="仿宋_GB2312" w:cs="仿宋"/>
          <w:kern w:val="0"/>
          <w:sz w:val="32"/>
          <w:szCs w:val="32"/>
          <w:highlight w:val="none"/>
          <w:lang w:bidi="ar"/>
        </w:rPr>
        <w:br w:type="textWrapping"/>
      </w:r>
      <w:r>
        <w:rPr>
          <w:rFonts w:hint="eastAsia" w:ascii="仿宋_GB2312" w:hAnsi="仿宋" w:eastAsia="仿宋_GB2312" w:cs="仿宋"/>
          <w:kern w:val="0"/>
          <w:sz w:val="32"/>
          <w:szCs w:val="32"/>
          <w:highlight w:val="none"/>
          <w:lang w:bidi="ar"/>
        </w:rPr>
        <w:t xml:space="preserve">    </w:t>
      </w:r>
      <w:r>
        <w:rPr>
          <w:rFonts w:hint="eastAsia" w:ascii="仿宋_GB2312" w:hAnsi="仿宋" w:eastAsia="仿宋_GB2312" w:cs="仿宋"/>
          <w:kern w:val="0"/>
          <w:sz w:val="32"/>
          <w:szCs w:val="32"/>
          <w:highlight w:val="none"/>
          <w:lang w:val="en-US" w:eastAsia="zh-CN" w:bidi="ar"/>
        </w:rPr>
        <w:t xml:space="preserve">     </w:t>
      </w:r>
      <w:r>
        <w:rPr>
          <w:rFonts w:hint="eastAsia" w:ascii="仿宋_GB2312" w:hAnsi="仿宋" w:eastAsia="仿宋_GB2312" w:cs="仿宋"/>
          <w:kern w:val="0"/>
          <w:sz w:val="32"/>
          <w:szCs w:val="32"/>
          <w:highlight w:val="none"/>
          <w:lang w:bidi="ar"/>
        </w:rPr>
        <w:t>C</w:t>
      </w:r>
      <w:r>
        <w:rPr>
          <w:rFonts w:hint="eastAsia" w:ascii="仿宋_GB2312" w:hAnsi="仿宋" w:eastAsia="仿宋_GB2312" w:cs="仿宋"/>
          <w:kern w:val="0"/>
          <w:sz w:val="32"/>
          <w:szCs w:val="32"/>
          <w:highlight w:val="none"/>
          <w:vertAlign w:val="subscript"/>
          <w:lang w:bidi="ar"/>
        </w:rPr>
        <w:t>i0</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kern w:val="0"/>
          <w:sz w:val="32"/>
          <w:szCs w:val="32"/>
          <w:highlight w:val="none"/>
          <w:lang w:bidi="ar"/>
        </w:rPr>
        <w:t>某项指标的基本限值。</w:t>
      </w:r>
    </w:p>
    <w:p>
      <w:pPr>
        <w:ind w:firstLine="640" w:firstLineChars="20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bidi="ar"/>
        </w:rPr>
        <w:t>按照《地表水环境质量标准》(GB3838-2002),若高锰酸盐指数、氨氮、总磷</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sz w:val="32"/>
          <w:szCs w:val="32"/>
          <w:highlight w:val="none"/>
        </w:rPr>
        <w:t>总氮</w:t>
      </w:r>
      <w:r>
        <w:rPr>
          <w:rFonts w:hint="eastAsia" w:ascii="仿宋_GB2312" w:hAnsi="仿宋" w:eastAsia="仿宋_GB2312" w:cs="仿宋"/>
          <w:kern w:val="0"/>
          <w:sz w:val="32"/>
          <w:szCs w:val="32"/>
          <w:highlight w:val="none"/>
          <w:lang w:bidi="ar"/>
        </w:rPr>
        <w:t>等</w:t>
      </w:r>
      <w:r>
        <w:rPr>
          <w:rFonts w:hint="eastAsia" w:ascii="仿宋_GB2312" w:hAnsi="仿宋" w:eastAsia="仿宋_GB2312" w:cs="仿宋"/>
          <w:kern w:val="0"/>
          <w:sz w:val="32"/>
          <w:szCs w:val="32"/>
          <w:highlight w:val="none"/>
          <w:lang w:val="en-US" w:eastAsia="zh-CN" w:bidi="ar"/>
        </w:rPr>
        <w:t>4</w:t>
      </w:r>
      <w:r>
        <w:rPr>
          <w:rFonts w:hint="eastAsia" w:ascii="仿宋_GB2312" w:hAnsi="仿宋" w:eastAsia="仿宋_GB2312" w:cs="仿宋"/>
          <w:kern w:val="0"/>
          <w:sz w:val="32"/>
          <w:szCs w:val="32"/>
          <w:highlight w:val="none"/>
          <w:lang w:bidi="ar"/>
        </w:rPr>
        <w:t>项考核指标前三年平均浓度值低于或等于断面考核目标值，以前三年平均浓度值为基本限值；若高锰酸盐指数、氨氮、总磷</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sz w:val="32"/>
          <w:szCs w:val="32"/>
          <w:highlight w:val="none"/>
        </w:rPr>
        <w:t>总氮</w:t>
      </w:r>
      <w:r>
        <w:rPr>
          <w:rFonts w:hint="eastAsia" w:ascii="仿宋_GB2312" w:hAnsi="仿宋" w:eastAsia="仿宋_GB2312" w:cs="仿宋"/>
          <w:kern w:val="0"/>
          <w:sz w:val="32"/>
          <w:szCs w:val="32"/>
          <w:highlight w:val="none"/>
          <w:lang w:bidi="ar"/>
        </w:rPr>
        <w:t>等</w:t>
      </w:r>
      <w:r>
        <w:rPr>
          <w:rFonts w:hint="eastAsia" w:ascii="仿宋_GB2312" w:hAnsi="仿宋" w:eastAsia="仿宋_GB2312" w:cs="仿宋"/>
          <w:kern w:val="0"/>
          <w:sz w:val="32"/>
          <w:szCs w:val="32"/>
          <w:highlight w:val="none"/>
          <w:lang w:val="en-US" w:eastAsia="zh-CN" w:bidi="ar"/>
        </w:rPr>
        <w:t>4</w:t>
      </w:r>
      <w:r>
        <w:rPr>
          <w:rFonts w:hint="eastAsia" w:ascii="仿宋_GB2312" w:hAnsi="仿宋" w:eastAsia="仿宋_GB2312" w:cs="仿宋"/>
          <w:kern w:val="0"/>
          <w:sz w:val="32"/>
          <w:szCs w:val="32"/>
          <w:highlight w:val="none"/>
          <w:lang w:bidi="ar"/>
        </w:rPr>
        <w:t>项考核指标前三年平均浓度值高于断面考核目标值，以断面考核目标值为基本限值。</w:t>
      </w:r>
    </w:p>
    <w:p>
      <w:pPr>
        <w:numPr>
          <w:ilvl w:val="-1"/>
          <w:numId w:val="0"/>
        </w:numPr>
        <w:ind w:firstLine="640" w:firstLineChars="200"/>
        <w:rPr>
          <w:rFonts w:hint="eastAsia" w:ascii="仿宋_GB2312" w:eastAsia="仿宋_GB2312"/>
          <w:sz w:val="32"/>
          <w:szCs w:val="32"/>
          <w:highlight w:val="none"/>
        </w:rPr>
      </w:pPr>
      <w:r>
        <w:rPr>
          <w:rFonts w:hint="default" w:ascii="仿宋_GB2312" w:eastAsia="仿宋_GB2312"/>
          <w:sz w:val="32"/>
          <w:szCs w:val="32"/>
          <w:highlight w:val="none"/>
          <w:lang w:val="en"/>
        </w:rPr>
        <w:t>2.</w:t>
      </w:r>
      <w:r>
        <w:rPr>
          <w:rFonts w:hint="eastAsia" w:ascii="仿宋_GB2312" w:eastAsia="仿宋_GB2312"/>
          <w:sz w:val="32"/>
          <w:szCs w:val="32"/>
          <w:highlight w:val="none"/>
          <w:lang w:eastAsia="zh-CN"/>
        </w:rPr>
        <w:t>水资源综合评价指数</w:t>
      </w:r>
      <w:r>
        <w:rPr>
          <w:rFonts w:hint="eastAsia" w:ascii="仿宋_GB2312" w:eastAsia="仿宋_GB2312"/>
          <w:sz w:val="32"/>
          <w:szCs w:val="32"/>
          <w:highlight w:val="none"/>
          <w:lang w:val="en-US" w:eastAsia="zh-CN"/>
        </w:rPr>
        <w:t>T</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水资源综合评价从水资源开发利用、节约、保护、管理等</w:t>
      </w:r>
      <w:r>
        <w:rPr>
          <w:rFonts w:hint="eastAsia" w:ascii="仿宋_GB2312" w:eastAsia="仿宋_GB2312"/>
          <w:sz w:val="32"/>
          <w:szCs w:val="32"/>
          <w:highlight w:val="none"/>
          <w:lang w:val="en-US" w:eastAsia="zh-CN"/>
        </w:rPr>
        <w:t>4项专项指数对椒灵江流域进行综合评价。评价以台州市水利局同意核定的水资源开发利用率、万元地区生产总值用水量、万元工业增加值用水量、农田灌溉水有效利用系数作为水资源开发利用和节约指数评估依据，采用县级以上重要饮用水水源地安全保障达标评估结果和最严格水资源管理制度考核排名结果作为水资源保护和管理指数评估依据，通过四维指数综合评价水资源综合评价指数T。</w:t>
      </w:r>
      <w:r>
        <w:rPr>
          <w:rFonts w:hint="eastAsia" w:ascii="仿宋_GB2312" w:eastAsia="仿宋_GB2312"/>
          <w:sz w:val="32"/>
          <w:szCs w:val="32"/>
          <w:highlight w:val="none"/>
        </w:rPr>
        <w:t>具体方法如下：</w:t>
      </w:r>
    </w:p>
    <w:p>
      <w:pPr>
        <w:numPr>
          <w:ilvl w:val="0"/>
          <w:numId w:val="0"/>
        </w:num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（1）水资源开发利用分数D（分值30分）</w:t>
      </w:r>
    </w:p>
    <w:p>
      <w:pPr>
        <w:numPr>
          <w:ilvl w:val="0"/>
          <w:numId w:val="0"/>
        </w:numPr>
        <w:ind w:firstLine="640" w:firstLineChars="200"/>
        <w:jc w:val="both"/>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D=（1-R）*30</w:t>
      </w:r>
    </w:p>
    <w:p>
      <w:pPr>
        <w:numPr>
          <w:ilvl w:val="0"/>
          <w:numId w:val="0"/>
        </w:num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式中：D——水资源开发利用分数。</w:t>
      </w:r>
    </w:p>
    <w:p>
      <w:pPr>
        <w:numPr>
          <w:ilvl w:val="0"/>
          <w:numId w:val="0"/>
        </w:numPr>
        <w:ind w:firstLine="1600" w:firstLineChars="5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R——水资源开发利用率。</w:t>
      </w:r>
    </w:p>
    <w:p>
      <w:pPr>
        <w:numPr>
          <w:ilvl w:val="0"/>
          <w:numId w:val="0"/>
        </w:numPr>
        <w:ind w:firstLine="640" w:firstLineChars="200"/>
        <w:rPr>
          <w:rFonts w:hint="eastAsia" w:ascii="仿宋_GB2312" w:eastAsia="仿宋_GB2312"/>
          <w:sz w:val="30"/>
          <w:szCs w:val="30"/>
          <w:highlight w:val="none"/>
          <w:lang w:val="en-US" w:eastAsia="zh-CN"/>
        </w:rPr>
      </w:pPr>
      <w:r>
        <w:rPr>
          <w:rFonts w:hint="eastAsia" w:ascii="仿宋_GB2312" w:eastAsia="仿宋_GB2312"/>
          <w:sz w:val="32"/>
          <w:szCs w:val="32"/>
          <w:highlight w:val="none"/>
          <w:lang w:val="en-US" w:eastAsia="zh-CN"/>
        </w:rPr>
        <w:t>（2）水资源节约分数S（分值50分）</w:t>
      </w:r>
    </w:p>
    <w:p>
      <w:pPr>
        <w:numPr>
          <w:ilvl w:val="0"/>
          <w:numId w:val="0"/>
        </w:numPr>
        <w:ind w:firstLine="720" w:firstLineChars="200"/>
        <w:jc w:val="both"/>
        <w:rPr>
          <w:rFonts w:hint="eastAsia" w:hAnsi="DejaVu Math TeX Gyre" w:eastAsia="仿宋_GB2312" w:cs="仿宋_GB2312"/>
          <w:i w:val="0"/>
          <w:color w:val="auto"/>
          <w:kern w:val="2"/>
          <w:sz w:val="30"/>
          <w:szCs w:val="30"/>
          <w:highlight w:val="none"/>
          <w:lang w:val="en-US" w:bidi="ar-SA"/>
        </w:rPr>
      </w:pPr>
      <w:r>
        <w:rPr>
          <w:rFonts w:hint="eastAsia" w:ascii="仿宋_GB2312" w:hAnsi="仿宋_GB2312" w:eastAsia="仿宋_GB2312" w:cs="仿宋_GB2312"/>
          <w:sz w:val="36"/>
          <w:szCs w:val="36"/>
          <w:highlight w:val="none"/>
          <w:lang w:val="en-US" w:eastAsia="zh-CN"/>
        </w:rPr>
        <w:t>S=</w:t>
      </w:r>
      <m:oMath>
        <m:r>
          <m:rPr>
            <m:sty m:val="p"/>
          </m:rPr>
          <w:rPr>
            <w:rFonts w:hint="eastAsia" w:ascii="DejaVu Math TeX Gyre" w:hAnsi="DejaVu Math TeX Gyre" w:eastAsia="仿宋_GB2312" w:cs="仿宋_GB2312"/>
            <w:sz w:val="36"/>
            <w:szCs w:val="36"/>
            <w:highlight w:val="none"/>
            <w:lang w:val="en-US" w:eastAsia="zh-CN"/>
          </w:rPr>
          <m:t xml:space="preserve"> </m:t>
        </m:r>
        <m:nary>
          <m:naryPr>
            <m:chr m:val="∑"/>
            <m:limLoc m:val="undOvr"/>
            <m:ctrlPr>
              <w:rPr>
                <w:rFonts w:hint="eastAsia" w:ascii="DejaVu Math TeX Gyre" w:hAnsi="DejaVu Math TeX Gyre" w:eastAsia="仿宋_GB2312" w:cs="仿宋_GB2312"/>
                <w:color w:val="auto"/>
                <w:kern w:val="2"/>
                <w:sz w:val="36"/>
                <w:szCs w:val="36"/>
                <w:highlight w:val="none"/>
                <w:lang w:val="en-US" w:bidi="ar-SA"/>
              </w:rPr>
            </m:ctrlPr>
          </m:naryPr>
          <m:sub>
            <m:r>
              <w:rPr>
                <w:rFonts w:hint="eastAsia" w:ascii="DejaVu Math TeX Gyre" w:hAnsi="DejaVu Math TeX Gyre" w:eastAsia="仿宋_GB2312" w:cs="仿宋_GB2312"/>
                <w:color w:val="auto"/>
                <w:sz w:val="36"/>
                <w:szCs w:val="36"/>
                <w:highlight w:val="none"/>
                <w:lang w:val="en-US" w:eastAsia="zh-CN"/>
              </w:rPr>
              <m:t>i</m:t>
            </m:r>
            <m:r>
              <m:rPr>
                <m:sty m:val="p"/>
              </m:rPr>
              <w:rPr>
                <w:rFonts w:hint="eastAsia" w:ascii="DejaVu Math TeX Gyre" w:hAnsi="DejaVu Math TeX Gyre" w:eastAsia="仿宋_GB2312" w:cs="仿宋_GB2312"/>
                <w:color w:val="auto"/>
                <w:kern w:val="2"/>
                <w:sz w:val="36"/>
                <w:szCs w:val="36"/>
                <w:highlight w:val="none"/>
                <w:lang w:val="en-US" w:eastAsia="zh-CN" w:bidi="ar-SA"/>
              </w:rPr>
              <m:t>=1</m:t>
            </m:r>
            <m:ctrlPr>
              <w:rPr>
                <w:rFonts w:hint="eastAsia" w:ascii="DejaVu Math TeX Gyre" w:hAnsi="DejaVu Math TeX Gyre" w:eastAsia="仿宋_GB2312" w:cs="仿宋_GB2312"/>
                <w:color w:val="auto"/>
                <w:kern w:val="2"/>
                <w:sz w:val="36"/>
                <w:szCs w:val="36"/>
                <w:highlight w:val="none"/>
                <w:lang w:val="en-US" w:bidi="ar-SA"/>
              </w:rPr>
            </m:ctrlPr>
          </m:sub>
          <m:sup>
            <m:r>
              <w:rPr>
                <w:rFonts w:hint="eastAsia" w:ascii="DejaVu Math TeX Gyre" w:hAnsi="DejaVu Math TeX Gyre" w:eastAsia="仿宋_GB2312" w:cs="仿宋_GB2312"/>
                <w:color w:val="auto"/>
                <w:kern w:val="2"/>
                <w:sz w:val="36"/>
                <w:szCs w:val="36"/>
                <w:highlight w:val="none"/>
                <w:lang w:bidi="ar-SA"/>
              </w:rPr>
              <m:t>3</m:t>
            </m:r>
            <m:ctrlPr>
              <w:rPr>
                <w:rFonts w:hint="eastAsia" w:ascii="DejaVu Math TeX Gyre" w:hAnsi="DejaVu Math TeX Gyre" w:eastAsia="仿宋_GB2312" w:cs="仿宋_GB2312"/>
                <w:color w:val="auto"/>
                <w:kern w:val="2"/>
                <w:sz w:val="36"/>
                <w:szCs w:val="36"/>
                <w:highlight w:val="none"/>
                <w:lang w:val="en-US" w:bidi="ar-SA"/>
              </w:rPr>
            </m:ctrlPr>
          </m:sup>
          <m:e>
            <m:sSub>
              <m:sSubPr>
                <m:ctrlPr>
                  <w:rPr>
                    <w:rFonts w:hint="eastAsia" w:ascii="DejaVu Math TeX Gyre" w:hAnsi="DejaVu Math TeX Gyre" w:eastAsia="仿宋_GB2312" w:cs="仿宋_GB2312"/>
                    <w:color w:val="auto"/>
                    <w:kern w:val="2"/>
                    <w:sz w:val="36"/>
                    <w:szCs w:val="36"/>
                    <w:highlight w:val="none"/>
                    <w:lang w:val="en-US" w:eastAsia="zh-CN" w:bidi="ar-SA"/>
                  </w:rPr>
                </m:ctrlPr>
              </m:sSubPr>
              <m:e>
                <m:r>
                  <m:rPr>
                    <m:sty m:val="p"/>
                  </m:rPr>
                  <w:rPr>
                    <w:rFonts w:hint="eastAsia" w:ascii="DejaVu Math TeX Gyre" w:hAnsi="DejaVu Math TeX Gyre" w:eastAsia="仿宋_GB2312" w:cs="仿宋_GB2312"/>
                    <w:color w:val="auto"/>
                    <w:kern w:val="2"/>
                    <w:sz w:val="36"/>
                    <w:szCs w:val="36"/>
                    <w:highlight w:val="none"/>
                    <w:lang w:val="en-US" w:eastAsia="zh-CN" w:bidi="ar-SA"/>
                  </w:rPr>
                  <m:t>k</m:t>
                </m:r>
                <m:ctrlPr>
                  <w:rPr>
                    <w:rFonts w:hint="eastAsia" w:ascii="DejaVu Math TeX Gyre" w:hAnsi="DejaVu Math TeX Gyre" w:eastAsia="仿宋_GB2312" w:cs="仿宋_GB2312"/>
                    <w:color w:val="auto"/>
                    <w:kern w:val="2"/>
                    <w:sz w:val="36"/>
                    <w:szCs w:val="36"/>
                    <w:highlight w:val="none"/>
                    <w:lang w:val="en-US" w:eastAsia="zh-CN" w:bidi="ar-SA"/>
                  </w:rPr>
                </m:ctrlPr>
              </m:e>
              <m:sub>
                <m:r>
                  <m:rPr>
                    <m:sty m:val="p"/>
                  </m:rPr>
                  <w:rPr>
                    <w:rFonts w:hint="eastAsia" w:ascii="DejaVu Math TeX Gyre" w:hAnsi="DejaVu Math TeX Gyre" w:eastAsia="仿宋_GB2312" w:cs="仿宋_GB2312"/>
                    <w:color w:val="auto"/>
                    <w:kern w:val="2"/>
                    <w:sz w:val="36"/>
                    <w:szCs w:val="36"/>
                    <w:highlight w:val="none"/>
                    <w:lang w:val="en-US" w:eastAsia="zh-CN" w:bidi="ar-SA"/>
                  </w:rPr>
                  <m:t>i</m:t>
                </m:r>
                <m:ctrlPr>
                  <w:rPr>
                    <w:rFonts w:hint="eastAsia" w:ascii="DejaVu Math TeX Gyre" w:hAnsi="DejaVu Math TeX Gyre" w:eastAsia="仿宋_GB2312" w:cs="仿宋_GB2312"/>
                    <w:color w:val="auto"/>
                    <w:kern w:val="2"/>
                    <w:sz w:val="36"/>
                    <w:szCs w:val="36"/>
                    <w:highlight w:val="none"/>
                    <w:lang w:val="en-US" w:eastAsia="zh-CN" w:bidi="ar-SA"/>
                  </w:rPr>
                </m:ctrlPr>
              </m:sub>
            </m:sSub>
            <m:sSup>
              <m:sSupPr>
                <m:ctrlPr>
                  <w:rPr>
                    <w:rFonts w:hint="eastAsia" w:ascii="DejaVu Math TeX Gyre" w:hAnsi="DejaVu Math TeX Gyre" w:eastAsia="仿宋_GB2312" w:cs="仿宋_GB2312"/>
                    <w:color w:val="auto"/>
                    <w:kern w:val="2"/>
                    <w:sz w:val="36"/>
                    <w:szCs w:val="36"/>
                    <w:highlight w:val="none"/>
                    <w:lang w:val="en-US" w:eastAsia="zh-CN" w:bidi="ar-SA"/>
                  </w:rPr>
                </m:ctrlPr>
              </m:sSupPr>
              <m:e>
                <m:d>
                  <m:dPr>
                    <m:ctrlPr>
                      <w:rPr>
                        <w:rFonts w:hint="eastAsia" w:ascii="DejaVu Math TeX Gyre" w:hAnsi="DejaVu Math TeX Gyre" w:eastAsia="仿宋_GB2312" w:cs="仿宋_GB2312"/>
                        <w:color w:val="auto"/>
                        <w:kern w:val="2"/>
                        <w:sz w:val="36"/>
                        <w:szCs w:val="36"/>
                        <w:highlight w:val="none"/>
                        <w:lang w:val="en-US" w:eastAsia="zh-CN" w:bidi="ar-SA"/>
                      </w:rPr>
                    </m:ctrlPr>
                  </m:dPr>
                  <m:e>
                    <m:f>
                      <m:fPr>
                        <m:ctrlPr>
                          <w:rPr>
                            <w:rFonts w:hint="eastAsia" w:ascii="DejaVu Math TeX Gyre" w:hAnsi="DejaVu Math TeX Gyre" w:eastAsia="仿宋_GB2312" w:cs="仿宋_GB2312"/>
                            <w:color w:val="auto"/>
                            <w:kern w:val="2"/>
                            <w:sz w:val="36"/>
                            <w:szCs w:val="36"/>
                            <w:highlight w:val="none"/>
                            <w:lang w:val="en-US" w:eastAsia="zh-CN" w:bidi="ar-SA"/>
                          </w:rPr>
                        </m:ctrlPr>
                      </m:fPr>
                      <m:num>
                        <m:sSub>
                          <m:sSubPr>
                            <m:ctrlPr>
                              <w:rPr>
                                <w:rFonts w:hint="eastAsia" w:ascii="DejaVu Math TeX Gyre" w:hAnsi="DejaVu Math TeX Gyre" w:eastAsia="仿宋_GB2312" w:cs="仿宋_GB2312"/>
                                <w:color w:val="auto"/>
                                <w:kern w:val="2"/>
                                <w:sz w:val="36"/>
                                <w:szCs w:val="36"/>
                                <w:highlight w:val="none"/>
                                <w:lang w:val="en-US" w:eastAsia="zh-CN" w:bidi="ar-SA"/>
                              </w:rPr>
                            </m:ctrlPr>
                          </m:sSubPr>
                          <m:e>
                            <m:r>
                              <m:rPr>
                                <m:sty m:val="p"/>
                              </m:rPr>
                              <w:rPr>
                                <w:rFonts w:hint="eastAsia" w:ascii="DejaVu Math TeX Gyre" w:hAnsi="DejaVu Math TeX Gyre" w:eastAsia="仿宋_GB2312" w:cs="仿宋_GB2312"/>
                                <w:color w:val="auto"/>
                                <w:kern w:val="2"/>
                                <w:sz w:val="36"/>
                                <w:szCs w:val="36"/>
                                <w:highlight w:val="none"/>
                                <w:lang w:val="en-US" w:eastAsia="zh-CN" w:bidi="ar-SA"/>
                              </w:rPr>
                              <m:t>w</m:t>
                            </m:r>
                            <m:ctrlPr>
                              <w:rPr>
                                <w:rFonts w:hint="eastAsia" w:ascii="DejaVu Math TeX Gyre" w:hAnsi="DejaVu Math TeX Gyre" w:eastAsia="仿宋_GB2312" w:cs="仿宋_GB2312"/>
                                <w:color w:val="auto"/>
                                <w:kern w:val="2"/>
                                <w:sz w:val="36"/>
                                <w:szCs w:val="36"/>
                                <w:highlight w:val="none"/>
                                <w:lang w:val="en-US" w:eastAsia="zh-CN" w:bidi="ar-SA"/>
                              </w:rPr>
                            </m:ctrlPr>
                          </m:e>
                          <m:sub>
                            <m:r>
                              <w:rPr>
                                <w:rFonts w:hint="eastAsia" w:ascii="DejaVu Math TeX Gyre" w:hAnsi="DejaVu Math TeX Gyre" w:eastAsia="仿宋_GB2312" w:cs="仿宋_GB2312"/>
                                <w:color w:val="auto"/>
                                <w:sz w:val="36"/>
                                <w:szCs w:val="36"/>
                                <w:highlight w:val="none"/>
                                <w:lang w:val="en-US" w:eastAsia="zh-CN"/>
                              </w:rPr>
                              <m:t>i</m:t>
                            </m:r>
                            <m:ctrlPr>
                              <w:rPr>
                                <w:rFonts w:hint="eastAsia" w:ascii="DejaVu Math TeX Gyre" w:hAnsi="DejaVu Math TeX Gyre" w:eastAsia="仿宋_GB2312" w:cs="仿宋_GB2312"/>
                                <w:color w:val="auto"/>
                                <w:kern w:val="2"/>
                                <w:sz w:val="36"/>
                                <w:szCs w:val="36"/>
                                <w:highlight w:val="none"/>
                                <w:lang w:val="en-US" w:eastAsia="zh-CN" w:bidi="ar-SA"/>
                              </w:rPr>
                            </m:ctrlPr>
                          </m:sub>
                        </m:sSub>
                        <m:ctrlPr>
                          <w:rPr>
                            <w:rFonts w:hint="eastAsia" w:ascii="DejaVu Math TeX Gyre" w:hAnsi="DejaVu Math TeX Gyre" w:eastAsia="仿宋_GB2312" w:cs="仿宋_GB2312"/>
                            <w:color w:val="auto"/>
                            <w:kern w:val="2"/>
                            <w:sz w:val="36"/>
                            <w:szCs w:val="36"/>
                            <w:highlight w:val="none"/>
                            <w:lang w:val="en-US" w:eastAsia="zh-CN" w:bidi="ar-SA"/>
                          </w:rPr>
                        </m:ctrlPr>
                      </m:num>
                      <m:den>
                        <m:sSub>
                          <m:sSubPr>
                            <m:ctrlPr>
                              <w:rPr>
                                <w:rFonts w:hint="eastAsia" w:ascii="DejaVu Math TeX Gyre" w:hAnsi="DejaVu Math TeX Gyre" w:eastAsia="仿宋_GB2312" w:cs="仿宋_GB2312"/>
                                <w:color w:val="auto"/>
                                <w:kern w:val="2"/>
                                <w:sz w:val="36"/>
                                <w:szCs w:val="36"/>
                                <w:highlight w:val="none"/>
                                <w:lang w:val="en-US" w:eastAsia="zh-CN" w:bidi="ar-SA"/>
                              </w:rPr>
                            </m:ctrlPr>
                          </m:sSubPr>
                          <m:e>
                            <m:r>
                              <m:rPr>
                                <m:sty m:val="p"/>
                              </m:rPr>
                              <w:rPr>
                                <w:rFonts w:hint="eastAsia" w:ascii="DejaVu Math TeX Gyre" w:hAnsi="DejaVu Math TeX Gyre" w:eastAsia="仿宋_GB2312" w:cs="仿宋_GB2312"/>
                                <w:color w:val="auto"/>
                                <w:kern w:val="2"/>
                                <w:sz w:val="36"/>
                                <w:szCs w:val="36"/>
                                <w:highlight w:val="none"/>
                                <w:lang w:val="en-US" w:eastAsia="zh-CN" w:bidi="ar-SA"/>
                              </w:rPr>
                              <m:t>w</m:t>
                            </m:r>
                            <m:ctrlPr>
                              <w:rPr>
                                <w:rFonts w:hint="eastAsia" w:ascii="DejaVu Math TeX Gyre" w:hAnsi="DejaVu Math TeX Gyre" w:eastAsia="仿宋_GB2312" w:cs="仿宋_GB2312"/>
                                <w:color w:val="auto"/>
                                <w:kern w:val="2"/>
                                <w:sz w:val="36"/>
                                <w:szCs w:val="36"/>
                                <w:highlight w:val="none"/>
                                <w:lang w:val="en-US" w:eastAsia="zh-CN" w:bidi="ar-SA"/>
                              </w:rPr>
                            </m:ctrlPr>
                          </m:e>
                          <m:sub>
                            <m:r>
                              <w:rPr>
                                <w:rFonts w:hint="eastAsia" w:ascii="DejaVu Math TeX Gyre" w:hAnsi="DejaVu Math TeX Gyre" w:eastAsia="仿宋_GB2312" w:cs="仿宋_GB2312"/>
                                <w:color w:val="auto"/>
                                <w:sz w:val="36"/>
                                <w:szCs w:val="36"/>
                                <w:highlight w:val="none"/>
                                <w:lang w:val="en-US" w:eastAsia="zh-CN"/>
                              </w:rPr>
                              <m:t>i</m:t>
                            </m:r>
                            <m:r>
                              <m:rPr>
                                <m:sty m:val="p"/>
                              </m:rPr>
                              <w:rPr>
                                <w:rFonts w:hint="eastAsia" w:ascii="DejaVu Math TeX Gyre" w:hAnsi="DejaVu Math TeX Gyre" w:eastAsia="仿宋_GB2312" w:cs="仿宋_GB2312"/>
                                <w:color w:val="auto"/>
                                <w:kern w:val="2"/>
                                <w:sz w:val="36"/>
                                <w:szCs w:val="36"/>
                                <w:highlight w:val="none"/>
                                <w:lang w:val="en-US" w:eastAsia="zh-CN" w:bidi="ar-SA"/>
                              </w:rPr>
                              <m:t>0</m:t>
                            </m:r>
                            <m:ctrlPr>
                              <w:rPr>
                                <w:rFonts w:hint="eastAsia" w:ascii="DejaVu Math TeX Gyre" w:hAnsi="DejaVu Math TeX Gyre" w:eastAsia="仿宋_GB2312" w:cs="仿宋_GB2312"/>
                                <w:color w:val="auto"/>
                                <w:kern w:val="2"/>
                                <w:sz w:val="36"/>
                                <w:szCs w:val="36"/>
                                <w:highlight w:val="none"/>
                                <w:lang w:val="en-US" w:eastAsia="zh-CN" w:bidi="ar-SA"/>
                              </w:rPr>
                            </m:ctrlPr>
                          </m:sub>
                        </m:sSub>
                        <m:ctrlPr>
                          <w:rPr>
                            <w:rFonts w:hint="eastAsia" w:ascii="DejaVu Math TeX Gyre" w:hAnsi="DejaVu Math TeX Gyre" w:eastAsia="仿宋_GB2312" w:cs="仿宋_GB2312"/>
                            <w:color w:val="auto"/>
                            <w:kern w:val="2"/>
                            <w:sz w:val="36"/>
                            <w:szCs w:val="36"/>
                            <w:highlight w:val="none"/>
                            <w:lang w:val="en-US" w:eastAsia="zh-CN" w:bidi="ar-SA"/>
                          </w:rPr>
                        </m:ctrlPr>
                      </m:den>
                    </m:f>
                    <m:ctrlPr>
                      <w:rPr>
                        <w:rFonts w:hint="eastAsia" w:ascii="DejaVu Math TeX Gyre" w:hAnsi="DejaVu Math TeX Gyre" w:eastAsia="仿宋_GB2312" w:cs="仿宋_GB2312"/>
                        <w:color w:val="auto"/>
                        <w:kern w:val="2"/>
                        <w:sz w:val="36"/>
                        <w:szCs w:val="36"/>
                        <w:highlight w:val="none"/>
                        <w:lang w:val="en-US" w:eastAsia="zh-CN" w:bidi="ar-SA"/>
                      </w:rPr>
                    </m:ctrlPr>
                  </m:e>
                </m:d>
                <m:ctrlPr>
                  <w:rPr>
                    <w:rFonts w:hint="eastAsia" w:ascii="DejaVu Math TeX Gyre" w:hAnsi="DejaVu Math TeX Gyre" w:eastAsia="仿宋_GB2312" w:cs="仿宋_GB2312"/>
                    <w:color w:val="auto"/>
                    <w:kern w:val="2"/>
                    <w:sz w:val="36"/>
                    <w:szCs w:val="36"/>
                    <w:highlight w:val="none"/>
                    <w:lang w:val="en-US" w:eastAsia="zh-CN" w:bidi="ar-SA"/>
                  </w:rPr>
                </m:ctrlPr>
              </m:e>
              <m:sup>
                <m:r>
                  <w:rPr>
                    <w:rFonts w:hint="eastAsia" w:ascii="DejaVu Math TeX Gyre" w:hAnsi="DejaVu Math TeX Gyre" w:eastAsia="仿宋_GB2312" w:cs="仿宋_GB2312"/>
                    <w:color w:val="auto"/>
                    <w:sz w:val="36"/>
                    <w:szCs w:val="36"/>
                    <w:highlight w:val="none"/>
                    <w:lang w:val="en-US" w:eastAsia="zh-CN"/>
                  </w:rPr>
                  <m:t>n</m:t>
                </m:r>
                <m:ctrlPr>
                  <w:rPr>
                    <w:rFonts w:hint="eastAsia" w:ascii="DejaVu Math TeX Gyre" w:hAnsi="DejaVu Math TeX Gyre" w:eastAsia="仿宋_GB2312" w:cs="仿宋_GB2312"/>
                    <w:color w:val="auto"/>
                    <w:kern w:val="2"/>
                    <w:sz w:val="36"/>
                    <w:szCs w:val="36"/>
                    <w:highlight w:val="none"/>
                    <w:lang w:val="en-US" w:eastAsia="zh-CN" w:bidi="ar-SA"/>
                  </w:rPr>
                </m:ctrlPr>
              </m:sup>
            </m:sSup>
            <m:ctrlPr>
              <w:rPr>
                <w:rFonts w:hint="eastAsia" w:ascii="DejaVu Math TeX Gyre" w:hAnsi="DejaVu Math TeX Gyre" w:eastAsia="仿宋_GB2312" w:cs="仿宋_GB2312"/>
                <w:color w:val="auto"/>
                <w:kern w:val="2"/>
                <w:sz w:val="36"/>
                <w:szCs w:val="36"/>
                <w:highlight w:val="none"/>
                <w:lang w:val="en-US" w:bidi="ar-SA"/>
              </w:rPr>
            </m:ctrlPr>
          </m:e>
        </m:nary>
      </m:oMath>
    </w:p>
    <w:p>
      <w:pPr>
        <w:numPr>
          <w:ilvl w:val="0"/>
          <w:numId w:val="0"/>
        </w:numPr>
        <w:ind w:firstLine="640" w:firstLineChars="200"/>
        <w:rPr>
          <w:rFonts w:hint="eastAsia" w:ascii="仿宋_GB2312" w:eastAsia="仿宋_GB2312"/>
          <w:sz w:val="32"/>
          <w:szCs w:val="32"/>
          <w:highlight w:val="none"/>
          <w:lang w:val="en-US" w:eastAsia="zh-CN"/>
        </w:rPr>
      </w:pPr>
      <w:r>
        <w:rPr>
          <w:rFonts w:hint="eastAsia" w:hAnsi="DejaVu Math TeX Gyre" w:eastAsia="仿宋_GB2312" w:cs="仿宋_GB2312"/>
          <w:i w:val="0"/>
          <w:color w:val="auto"/>
          <w:kern w:val="2"/>
          <w:sz w:val="32"/>
          <w:szCs w:val="32"/>
          <w:highlight w:val="none"/>
          <w:lang w:val="en-US" w:eastAsia="zh-CN" w:bidi="ar-SA"/>
        </w:rPr>
        <w:t>式中：S——</w:t>
      </w:r>
      <w:r>
        <w:rPr>
          <w:rFonts w:hint="eastAsia" w:ascii="仿宋_GB2312" w:eastAsia="仿宋_GB2312"/>
          <w:sz w:val="32"/>
          <w:szCs w:val="32"/>
          <w:highlight w:val="none"/>
          <w:lang w:val="en-US" w:eastAsia="zh-CN"/>
        </w:rPr>
        <w:t>水资源节约分数。</w:t>
      </w:r>
    </w:p>
    <w:p>
      <w:pPr>
        <w:numPr>
          <w:ilvl w:val="0"/>
          <w:numId w:val="0"/>
        </w:numPr>
        <w:ind w:firstLine="1600" w:firstLineChars="500"/>
        <w:rPr>
          <w:rFonts w:hint="eastAsia" w:ascii="仿宋_GB2312" w:eastAsia="仿宋_GB2312"/>
          <w:sz w:val="32"/>
          <w:szCs w:val="32"/>
          <w:highlight w:val="none"/>
          <w:lang w:val="en-US" w:eastAsia="zh-CN"/>
        </w:rPr>
      </w:pPr>
      <w:r>
        <w:rPr>
          <w:rFonts w:hint="eastAsia" w:ascii="仿宋_GB2312" w:hAnsi="仿宋" w:eastAsia="仿宋_GB2312" w:cs="仿宋"/>
          <w:kern w:val="0"/>
          <w:sz w:val="32"/>
          <w:szCs w:val="32"/>
          <w:highlight w:val="none"/>
          <w:lang w:bidi="ar"/>
        </w:rPr>
        <w:t>k</w:t>
      </w:r>
      <w:r>
        <w:rPr>
          <w:rFonts w:hint="eastAsia" w:ascii="仿宋_GB2312" w:hAnsi="仿宋" w:eastAsia="仿宋_GB2312" w:cs="仿宋"/>
          <w:kern w:val="0"/>
          <w:sz w:val="32"/>
          <w:szCs w:val="32"/>
          <w:highlight w:val="none"/>
          <w:vertAlign w:val="subscript"/>
          <w:lang w:bidi="ar"/>
        </w:rPr>
        <w:t>i</w:t>
      </w:r>
      <w:r>
        <w:rPr>
          <w:rFonts w:hint="eastAsia" w:ascii="仿宋_GB2312" w:hAnsi="仿宋" w:eastAsia="仿宋_GB2312" w:cs="仿宋"/>
          <w:kern w:val="0"/>
          <w:sz w:val="32"/>
          <w:szCs w:val="32"/>
          <w:highlight w:val="none"/>
          <w:lang w:eastAsia="zh-CN" w:bidi="ar"/>
        </w:rPr>
        <w:t>——指标对应分数，万元地区生产总值用水量、万元工业增加值用水量分别为</w:t>
      </w:r>
      <w:r>
        <w:rPr>
          <w:rFonts w:hint="eastAsia" w:ascii="仿宋_GB2312" w:hAnsi="仿宋" w:eastAsia="仿宋_GB2312" w:cs="仿宋"/>
          <w:kern w:val="0"/>
          <w:sz w:val="32"/>
          <w:szCs w:val="32"/>
          <w:highlight w:val="none"/>
          <w:lang w:val="en-US" w:eastAsia="zh-CN" w:bidi="ar"/>
        </w:rPr>
        <w:t>20分，</w:t>
      </w:r>
      <w:r>
        <w:rPr>
          <w:rFonts w:hint="eastAsia" w:ascii="仿宋_GB2312" w:eastAsia="仿宋_GB2312"/>
          <w:sz w:val="32"/>
          <w:szCs w:val="32"/>
          <w:highlight w:val="none"/>
          <w:lang w:val="en-US" w:eastAsia="zh-CN"/>
        </w:rPr>
        <w:t>农田灌溉水有效利用系数为10分。</w:t>
      </w:r>
    </w:p>
    <w:p>
      <w:pPr>
        <w:numPr>
          <w:ilvl w:val="0"/>
          <w:numId w:val="0"/>
        </w:numPr>
        <w:ind w:firstLine="0" w:firstLineChars="0"/>
        <w:rPr>
          <w:rFonts w:hint="eastAsia" w:ascii="仿宋_GB2312" w:eastAsia="仿宋_GB2312"/>
          <w:sz w:val="32"/>
          <w:szCs w:val="32"/>
          <w:highlight w:val="none"/>
          <w:lang w:val="en" w:eastAsia="zh-CN"/>
        </w:rPr>
      </w:pPr>
      <w:r>
        <w:rPr>
          <w:rFonts w:hint="eastAsia" w:ascii="仿宋_GB2312" w:hAnsi="仿宋" w:eastAsia="仿宋_GB2312" w:cs="仿宋"/>
          <w:kern w:val="0"/>
          <w:sz w:val="32"/>
          <w:szCs w:val="32"/>
          <w:highlight w:val="none"/>
          <w:lang w:val="en-US" w:eastAsia="zh-CN" w:bidi="ar"/>
        </w:rPr>
        <w:t xml:space="preserve"> </w:t>
      </w:r>
      <w:r>
        <w:rPr>
          <w:rFonts w:hint="default" w:ascii="仿宋_GB2312" w:hAnsi="仿宋" w:eastAsia="仿宋_GB2312" w:cs="仿宋"/>
          <w:kern w:val="0"/>
          <w:sz w:val="32"/>
          <w:szCs w:val="32"/>
          <w:highlight w:val="none"/>
          <w:lang w:val="en" w:eastAsia="zh-CN" w:bidi="ar"/>
        </w:rPr>
        <w:t xml:space="preserve">         </w:t>
      </w:r>
      <w:r>
        <w:rPr>
          <w:rFonts w:hint="eastAsia" w:ascii="仿宋_GB2312" w:eastAsia="仿宋_GB2312"/>
          <w:sz w:val="32"/>
          <w:szCs w:val="32"/>
          <w:highlight w:val="none"/>
        </w:rPr>
        <w:t>W</w:t>
      </w:r>
      <w:r>
        <w:rPr>
          <w:rFonts w:hint="eastAsia" w:ascii="仿宋_GB2312" w:eastAsia="仿宋_GB2312"/>
          <w:sz w:val="32"/>
          <w:szCs w:val="32"/>
          <w:highlight w:val="none"/>
          <w:vertAlign w:val="subscript"/>
        </w:rPr>
        <w:t>i</w:t>
      </w:r>
      <w:r>
        <w:rPr>
          <w:rFonts w:hint="eastAsia" w:ascii="仿宋_GB2312" w:hAnsi="仿宋" w:eastAsia="仿宋_GB2312" w:cs="仿宋"/>
          <w:kern w:val="0"/>
          <w:sz w:val="32"/>
          <w:szCs w:val="32"/>
          <w:highlight w:val="none"/>
          <w:lang w:eastAsia="zh-CN" w:bidi="ar"/>
        </w:rPr>
        <w:t>——某项指标的当年实际值。</w:t>
      </w:r>
    </w:p>
    <w:p>
      <w:pPr>
        <w:numPr>
          <w:ilvl w:val="0"/>
          <w:numId w:val="0"/>
        </w:numPr>
        <w:ind w:firstLine="1600" w:firstLineChars="500"/>
        <w:rPr>
          <w:rFonts w:hint="default" w:ascii="仿宋_GB2312" w:eastAsia="仿宋_GB2312"/>
          <w:sz w:val="32"/>
          <w:szCs w:val="32"/>
          <w:highlight w:val="none"/>
          <w:lang w:val="en-US" w:eastAsia="zh-CN"/>
        </w:rPr>
      </w:pPr>
      <w:r>
        <w:rPr>
          <w:rFonts w:hint="eastAsia" w:ascii="仿宋_GB2312" w:eastAsia="仿宋_GB2312"/>
          <w:sz w:val="32"/>
          <w:szCs w:val="32"/>
          <w:highlight w:val="none"/>
        </w:rPr>
        <w:t>W</w:t>
      </w:r>
      <w:r>
        <w:rPr>
          <w:rFonts w:hint="eastAsia" w:ascii="仿宋_GB2312" w:eastAsia="仿宋_GB2312"/>
          <w:sz w:val="32"/>
          <w:szCs w:val="32"/>
          <w:highlight w:val="none"/>
          <w:vertAlign w:val="subscript"/>
        </w:rPr>
        <w:t>i0</w:t>
      </w:r>
      <w:r>
        <w:rPr>
          <w:rFonts w:hint="eastAsia" w:ascii="仿宋_GB2312" w:hAnsi="仿宋" w:eastAsia="仿宋_GB2312" w:cs="仿宋"/>
          <w:kern w:val="0"/>
          <w:sz w:val="32"/>
          <w:szCs w:val="32"/>
          <w:highlight w:val="none"/>
          <w:lang w:eastAsia="zh-CN" w:bidi="ar"/>
        </w:rPr>
        <w:t>——流域内某项指标的当年实际最值，万元地区生产总值用水量、万元工业增加值用水量取最低值，农田灌溉水有效利用系数取最高值。</w:t>
      </w:r>
    </w:p>
    <w:p>
      <w:pPr>
        <w:numPr>
          <w:ilvl w:val="0"/>
          <w:numId w:val="0"/>
        </w:numPr>
        <w:ind w:firstLine="1600" w:firstLineChars="500"/>
        <w:rPr>
          <w:rFonts w:hint="eastAsia" w:ascii="仿宋_GB2312" w:hAnsi="仿宋" w:eastAsia="仿宋_GB2312" w:cs="仿宋"/>
          <w:kern w:val="0"/>
          <w:sz w:val="32"/>
          <w:szCs w:val="32"/>
          <w:highlight w:val="none"/>
          <w:lang w:val="en-US" w:eastAsia="zh-CN" w:bidi="ar"/>
        </w:rPr>
      </w:pPr>
      <w:r>
        <w:rPr>
          <w:rFonts w:hint="default" w:ascii="仿宋_GB2312" w:eastAsia="仿宋_GB2312"/>
          <w:sz w:val="32"/>
          <w:szCs w:val="32"/>
          <w:highlight w:val="none"/>
          <w:lang w:val="en" w:eastAsia="zh-CN"/>
        </w:rPr>
        <w:t>n</w:t>
      </w:r>
      <w:r>
        <w:rPr>
          <w:rFonts w:hint="eastAsia" w:ascii="仿宋_GB2312" w:hAnsi="仿宋" w:eastAsia="仿宋_GB2312" w:cs="仿宋"/>
          <w:kern w:val="0"/>
          <w:sz w:val="32"/>
          <w:szCs w:val="32"/>
          <w:highlight w:val="none"/>
          <w:lang w:eastAsia="zh-CN" w:bidi="ar"/>
        </w:rPr>
        <w:t>——指标对应的计算指数系数，万元地区生产总值用水量、万元工业增加值用水量取</w:t>
      </w:r>
      <w:r>
        <w:rPr>
          <w:rFonts w:hint="eastAsia" w:ascii="仿宋_GB2312" w:hAnsi="仿宋" w:eastAsia="仿宋_GB2312" w:cs="仿宋"/>
          <w:kern w:val="0"/>
          <w:sz w:val="32"/>
          <w:szCs w:val="32"/>
          <w:highlight w:val="none"/>
          <w:lang w:val="en-US" w:eastAsia="zh-CN" w:bidi="ar"/>
        </w:rPr>
        <w:t>-1,农田灌溉水有效利用系数取1。</w:t>
      </w:r>
    </w:p>
    <w:p>
      <w:pPr>
        <w:numPr>
          <w:ilvl w:val="0"/>
          <w:numId w:val="0"/>
        </w:numPr>
        <w:ind w:firstLine="640" w:firstLineChars="200"/>
        <w:rPr>
          <w:rFonts w:hint="eastAsia" w:ascii="仿宋_GB2312" w:hAnsi="仿宋" w:eastAsia="仿宋_GB2312" w:cs="仿宋"/>
          <w:kern w:val="0"/>
          <w:sz w:val="32"/>
          <w:szCs w:val="32"/>
          <w:highlight w:val="none"/>
          <w:lang w:val="en-US" w:eastAsia="zh-CN" w:bidi="ar"/>
        </w:rPr>
      </w:pPr>
      <w:r>
        <w:rPr>
          <w:rFonts w:hint="eastAsia" w:ascii="仿宋_GB2312" w:hAnsi="仿宋" w:eastAsia="仿宋_GB2312" w:cs="仿宋"/>
          <w:kern w:val="0"/>
          <w:sz w:val="32"/>
          <w:szCs w:val="32"/>
          <w:highlight w:val="none"/>
          <w:lang w:val="en-US" w:eastAsia="zh-CN" w:bidi="ar"/>
        </w:rPr>
        <w:t>（3）水资源保护分数E（分值10分）</w:t>
      </w:r>
    </w:p>
    <w:p>
      <w:pPr>
        <w:numPr>
          <w:ilvl w:val="0"/>
          <w:numId w:val="0"/>
        </w:numPr>
        <w:ind w:firstLine="640" w:firstLineChars="200"/>
        <w:rPr>
          <w:rFonts w:hint="default" w:ascii="仿宋_GB2312" w:hAnsi="仿宋" w:eastAsia="仿宋_GB2312" w:cs="仿宋"/>
          <w:kern w:val="0"/>
          <w:sz w:val="32"/>
          <w:szCs w:val="32"/>
          <w:highlight w:val="none"/>
          <w:lang w:val="en-US" w:eastAsia="zh-CN" w:bidi="ar"/>
        </w:rPr>
      </w:pPr>
      <w:r>
        <w:rPr>
          <w:rFonts w:hint="eastAsia" w:ascii="仿宋_GB2312" w:hAnsi="仿宋" w:eastAsia="仿宋_GB2312" w:cs="仿宋"/>
          <w:kern w:val="0"/>
          <w:sz w:val="32"/>
          <w:szCs w:val="32"/>
          <w:highlight w:val="none"/>
          <w:lang w:val="en-US" w:eastAsia="zh-CN" w:bidi="ar"/>
        </w:rPr>
        <w:t>采用县级以上重要饮用水水源地安全保障达标评估结果，评估优秀得10分，良好得5分，中、差不得分。由于椒江区不属于县级以上重要饮用水水源地，因此对其采用按其他县（市、区）得分平均数进行评分的方法，平均数等于0分或5分时按0分或5分算，大于0分不足5分时按5分算，大于5分时按10分算。</w:t>
      </w:r>
    </w:p>
    <w:p>
      <w:pPr>
        <w:numPr>
          <w:ilvl w:val="0"/>
          <w:numId w:val="0"/>
        </w:numPr>
        <w:ind w:firstLine="640" w:firstLineChars="200"/>
        <w:rPr>
          <w:rFonts w:hint="default" w:ascii="仿宋_GB2312" w:hAnsi="仿宋" w:eastAsia="仿宋_GB2312" w:cs="仿宋"/>
          <w:kern w:val="0"/>
          <w:sz w:val="32"/>
          <w:szCs w:val="32"/>
          <w:highlight w:val="none"/>
          <w:lang w:val="en-US" w:eastAsia="zh-CN" w:bidi="ar"/>
        </w:rPr>
      </w:pPr>
      <w:r>
        <w:rPr>
          <w:rFonts w:hint="eastAsia" w:ascii="仿宋_GB2312" w:hAnsi="仿宋" w:eastAsia="仿宋_GB2312" w:cs="仿宋"/>
          <w:kern w:val="0"/>
          <w:sz w:val="32"/>
          <w:szCs w:val="32"/>
          <w:highlight w:val="none"/>
          <w:lang w:val="en-US" w:eastAsia="zh-CN" w:bidi="ar"/>
        </w:rPr>
        <w:t>（4）水资源管理分数N（分值10分）</w:t>
      </w:r>
    </w:p>
    <w:p>
      <w:pPr>
        <w:numPr>
          <w:ilvl w:val="0"/>
          <w:numId w:val="0"/>
        </w:numPr>
        <w:ind w:firstLine="640" w:firstLineChars="200"/>
        <w:rPr>
          <w:rFonts w:hint="eastAsia" w:ascii="仿宋_GB2312" w:hAnsi="仿宋" w:eastAsia="仿宋_GB2312" w:cs="仿宋"/>
          <w:kern w:val="0"/>
          <w:sz w:val="32"/>
          <w:szCs w:val="32"/>
          <w:highlight w:val="none"/>
          <w:lang w:val="en-US" w:eastAsia="zh-CN" w:bidi="ar"/>
        </w:rPr>
      </w:pPr>
      <w:r>
        <w:rPr>
          <w:rFonts w:hint="eastAsia" w:ascii="仿宋_GB2312" w:hAnsi="仿宋" w:eastAsia="仿宋_GB2312" w:cs="仿宋"/>
          <w:kern w:val="0"/>
          <w:sz w:val="32"/>
          <w:szCs w:val="32"/>
          <w:highlight w:val="none"/>
          <w:lang w:val="en-US" w:eastAsia="zh-CN" w:bidi="ar"/>
        </w:rPr>
        <w:t>采用最严格水资源管理制度考核排名结果，按考核结果排名赋分，第一名10分，第二名9分，依此类推。</w:t>
      </w:r>
    </w:p>
    <w:p>
      <w:pPr>
        <w:numPr>
          <w:ilvl w:val="0"/>
          <w:numId w:val="0"/>
        </w:num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lang w:eastAsia="zh-CN"/>
        </w:rPr>
        <w:t>水资源综合评价指数</w:t>
      </w:r>
      <w:r>
        <w:rPr>
          <w:rFonts w:hint="eastAsia" w:ascii="仿宋_GB2312" w:eastAsia="仿宋_GB2312"/>
          <w:sz w:val="32"/>
          <w:szCs w:val="32"/>
          <w:highlight w:val="none"/>
          <w:lang w:val="en-US" w:eastAsia="zh-CN"/>
        </w:rPr>
        <w:t>T</w:t>
      </w:r>
    </w:p>
    <w:p>
      <w:pPr>
        <w:numPr>
          <w:ilvl w:val="0"/>
          <w:numId w:val="0"/>
        </w:numPr>
        <w:ind w:firstLine="720" w:firstLineChars="200"/>
        <w:rPr>
          <w:rFonts w:hint="default" w:ascii="仿宋_GB2312" w:eastAsia="仿宋_GB2312"/>
          <w:sz w:val="36"/>
          <w:szCs w:val="36"/>
          <w:highlight w:val="none"/>
          <w:lang w:val="en-US" w:eastAsia="zh-CN"/>
        </w:rPr>
      </w:pPr>
      <w:r>
        <w:rPr>
          <w:rFonts w:hint="eastAsia" w:ascii="仿宋_GB2312" w:eastAsia="仿宋_GB2312"/>
          <w:sz w:val="36"/>
          <w:szCs w:val="36"/>
          <w:highlight w:val="none"/>
          <w:lang w:val="en-US" w:eastAsia="zh-CN"/>
        </w:rPr>
        <w:t xml:space="preserve">T= 1- </w:t>
      </w:r>
      <m:oMath>
        <m:f>
          <m:fPr>
            <m:ctrlPr>
              <w:rPr>
                <w:rFonts w:ascii="DejaVu Math TeX Gyre" w:hAnsi="DejaVu Math TeX Gyre"/>
                <w:i/>
                <w:sz w:val="36"/>
                <w:szCs w:val="36"/>
                <w:highlight w:val="none"/>
                <w:lang w:val="en-US"/>
              </w:rPr>
            </m:ctrlPr>
          </m:fPr>
          <m:num>
            <m:r>
              <w:rPr>
                <w:rFonts w:hint="eastAsia" w:ascii="DejaVu Math TeX Gyre" w:hAnsi="DejaVu Math TeX Gyre"/>
                <w:sz w:val="36"/>
                <w:szCs w:val="36"/>
                <w:highlight w:val="none"/>
                <w:lang w:val="en-US" w:eastAsia="zh-CN"/>
              </w:rPr>
              <m:t>D+S+E+N</m:t>
            </m:r>
            <m:ctrlPr>
              <w:rPr>
                <w:rFonts w:ascii="DejaVu Math TeX Gyre" w:hAnsi="DejaVu Math TeX Gyre"/>
                <w:i/>
                <w:sz w:val="36"/>
                <w:szCs w:val="36"/>
                <w:highlight w:val="none"/>
                <w:lang w:val="en-US"/>
              </w:rPr>
            </m:ctrlPr>
          </m:num>
          <m:den>
            <m:r>
              <w:rPr>
                <w:rFonts w:hint="eastAsia" w:ascii="DejaVu Math TeX Gyre" w:hAnsi="DejaVu Math TeX Gyre"/>
                <w:sz w:val="36"/>
                <w:szCs w:val="36"/>
                <w:highlight w:val="none"/>
                <w:lang w:val="en-US" w:eastAsia="zh-CN"/>
              </w:rPr>
              <m:t>100</m:t>
            </m:r>
            <m:ctrlPr>
              <w:rPr>
                <w:rFonts w:ascii="DejaVu Math TeX Gyre" w:hAnsi="DejaVu Math TeX Gyre"/>
                <w:i/>
                <w:sz w:val="36"/>
                <w:szCs w:val="36"/>
                <w:highlight w:val="none"/>
                <w:lang w:val="en-US"/>
              </w:rPr>
            </m:ctrlPr>
          </m:den>
        </m:f>
      </m:oMath>
    </w:p>
    <w:p>
      <w:pPr>
        <w:numPr>
          <w:ilvl w:val="0"/>
          <w:numId w:val="0"/>
        </w:numPr>
        <w:ind w:firstLine="640" w:firstLineChars="200"/>
        <w:rPr>
          <w:rFonts w:hint="eastAsia" w:ascii="仿宋_GB2312" w:eastAsia="仿宋_GB2312"/>
          <w:sz w:val="32"/>
          <w:szCs w:val="32"/>
          <w:highlight w:val="none"/>
          <w:lang w:eastAsia="zh-CN"/>
        </w:rPr>
      </w:pPr>
      <w:r>
        <w:rPr>
          <w:rFonts w:hint="eastAsia" w:ascii="仿宋_GB2312" w:hAnsi="仿宋" w:eastAsia="仿宋_GB2312" w:cs="仿宋"/>
          <w:kern w:val="0"/>
          <w:sz w:val="32"/>
          <w:szCs w:val="32"/>
          <w:highlight w:val="none"/>
          <w:lang w:val="en-US" w:eastAsia="zh-CN" w:bidi="ar"/>
        </w:rPr>
        <w:t>式中：D</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水资源开发利用分数。</w:t>
      </w:r>
    </w:p>
    <w:p>
      <w:pPr>
        <w:numPr>
          <w:ilvl w:val="0"/>
          <w:numId w:val="0"/>
        </w:num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 xml:space="preserve">      S</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水资源节约分数。</w:t>
      </w:r>
    </w:p>
    <w:p>
      <w:pPr>
        <w:numPr>
          <w:ilvl w:val="0"/>
          <w:numId w:val="0"/>
        </w:num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 xml:space="preserve">      E</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水资源保护分数。</w:t>
      </w:r>
    </w:p>
    <w:p>
      <w:pPr>
        <w:numPr>
          <w:ilvl w:val="0"/>
          <w:numId w:val="0"/>
        </w:numPr>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N</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水资源管理分数。</w:t>
      </w:r>
    </w:p>
    <w:p>
      <w:pPr>
        <w:numPr>
          <w:ilvl w:val="0"/>
          <w:numId w:val="0"/>
        </w:numPr>
        <w:ind w:firstLine="640" w:firstLineChars="200"/>
        <w:rPr>
          <w:rFonts w:hint="eastAsia" w:ascii="仿宋_GB2312" w:hAnsi="仿宋" w:eastAsia="仿宋_GB2312" w:cs="仿宋"/>
          <w:kern w:val="0"/>
          <w:sz w:val="32"/>
          <w:szCs w:val="32"/>
          <w:highlight w:val="none"/>
          <w:lang w:val="en-US" w:eastAsia="zh-CN" w:bidi="ar"/>
        </w:rPr>
      </w:pPr>
      <w:r>
        <w:rPr>
          <w:rFonts w:hint="eastAsia" w:ascii="仿宋_GB2312" w:hAnsi="仿宋" w:eastAsia="仿宋_GB2312" w:cs="仿宋"/>
          <w:kern w:val="0"/>
          <w:sz w:val="32"/>
          <w:szCs w:val="32"/>
          <w:highlight w:val="none"/>
          <w:lang w:val="en-US" w:eastAsia="zh-CN" w:bidi="ar"/>
        </w:rPr>
        <w:t>（6）椒灵江流域相关评估指标解释：</w:t>
      </w:r>
    </w:p>
    <w:p>
      <w:pPr>
        <w:numPr>
          <w:ilvl w:val="0"/>
          <w:numId w:val="0"/>
        </w:numPr>
        <w:ind w:firstLine="640" w:firstLineChars="200"/>
        <w:rPr>
          <w:rFonts w:hint="eastAsia" w:ascii="仿宋_GB2312" w:hAnsi="仿宋" w:eastAsia="仿宋_GB2312" w:cs="仿宋"/>
          <w:kern w:val="0"/>
          <w:sz w:val="32"/>
          <w:szCs w:val="32"/>
          <w:highlight w:val="none"/>
          <w:lang w:val="en-US" w:eastAsia="zh-CN" w:bidi="ar"/>
        </w:rPr>
      </w:pPr>
      <w:r>
        <w:rPr>
          <w:rFonts w:hint="eastAsia" w:ascii="汉仪书宋二S" w:hAnsi="汉仪书宋二S" w:eastAsia="汉仪书宋二S" w:cs="汉仪书宋二S"/>
          <w:kern w:val="0"/>
          <w:sz w:val="32"/>
          <w:szCs w:val="32"/>
          <w:highlight w:val="none"/>
          <w:lang w:val="en-US" w:eastAsia="zh-CN" w:bidi="ar"/>
        </w:rPr>
        <w:t>①</w:t>
      </w:r>
      <w:r>
        <w:rPr>
          <w:rFonts w:hint="eastAsia" w:ascii="仿宋_GB2312" w:hAnsi="仿宋" w:eastAsia="仿宋_GB2312" w:cs="仿宋"/>
          <w:kern w:val="0"/>
          <w:sz w:val="32"/>
          <w:szCs w:val="32"/>
          <w:highlight w:val="none"/>
          <w:lang w:val="en-US" w:eastAsia="zh-CN" w:bidi="ar"/>
        </w:rPr>
        <w:t>水资源开发利用率：区域内用水总量与本地多年平均水资源总量（含跨行政区调入水量）的比值。</w:t>
      </w:r>
    </w:p>
    <w:p>
      <w:pPr>
        <w:numPr>
          <w:ilvl w:val="0"/>
          <w:numId w:val="0"/>
        </w:numPr>
        <w:ind w:firstLine="640" w:firstLineChars="200"/>
        <w:rPr>
          <w:rFonts w:hint="default" w:ascii="仿宋_GB2312" w:hAnsi="仿宋" w:eastAsia="仿宋_GB2312" w:cs="仿宋"/>
          <w:kern w:val="0"/>
          <w:sz w:val="32"/>
          <w:szCs w:val="32"/>
          <w:highlight w:val="none"/>
          <w:lang w:val="en-US" w:eastAsia="zh-CN" w:bidi="ar"/>
        </w:rPr>
      </w:pPr>
      <w:r>
        <w:rPr>
          <w:rFonts w:hint="eastAsia" w:ascii="汉仪书宋二S" w:hAnsi="汉仪书宋二S" w:eastAsia="汉仪书宋二S" w:cs="汉仪书宋二S"/>
          <w:kern w:val="0"/>
          <w:sz w:val="32"/>
          <w:szCs w:val="32"/>
          <w:highlight w:val="none"/>
          <w:lang w:val="en-US" w:eastAsia="zh-CN" w:bidi="ar"/>
        </w:rPr>
        <w:t>②</w:t>
      </w:r>
      <w:r>
        <w:rPr>
          <w:rFonts w:hint="eastAsia" w:ascii="仿宋_GB2312" w:hAnsi="仿宋" w:eastAsia="仿宋_GB2312" w:cs="仿宋"/>
          <w:kern w:val="0"/>
          <w:sz w:val="32"/>
          <w:szCs w:val="32"/>
          <w:highlight w:val="none"/>
          <w:lang w:val="en-US" w:eastAsia="zh-CN" w:bidi="ar"/>
        </w:rPr>
        <w:t>万元地区生产总值用水量：区域用水总量（扣除非常规水等）与地区生产总值的比值。</w:t>
      </w:r>
    </w:p>
    <w:p>
      <w:pPr>
        <w:numPr>
          <w:ilvl w:val="0"/>
          <w:numId w:val="0"/>
        </w:numPr>
        <w:ind w:firstLine="600" w:firstLineChars="0"/>
        <w:rPr>
          <w:rFonts w:hint="eastAsia" w:ascii="仿宋_GB2312" w:hAnsi="仿宋" w:eastAsia="仿宋_GB2312" w:cs="仿宋"/>
          <w:kern w:val="0"/>
          <w:sz w:val="32"/>
          <w:szCs w:val="32"/>
          <w:highlight w:val="none"/>
          <w:lang w:val="en-US" w:eastAsia="zh-CN" w:bidi="ar"/>
        </w:rPr>
      </w:pPr>
      <w:r>
        <w:rPr>
          <w:rFonts w:hint="eastAsia" w:ascii="汉仪书宋二S" w:hAnsi="汉仪书宋二S" w:eastAsia="汉仪书宋二S" w:cs="汉仪书宋二S"/>
          <w:kern w:val="0"/>
          <w:sz w:val="32"/>
          <w:szCs w:val="32"/>
          <w:highlight w:val="none"/>
          <w:lang w:val="en-US" w:eastAsia="zh-CN" w:bidi="ar"/>
        </w:rPr>
        <w:t>③</w:t>
      </w:r>
      <w:r>
        <w:rPr>
          <w:rFonts w:hint="eastAsia" w:ascii="仿宋_GB2312" w:hAnsi="仿宋" w:eastAsia="仿宋_GB2312" w:cs="仿宋"/>
          <w:kern w:val="0"/>
          <w:sz w:val="32"/>
          <w:szCs w:val="32"/>
          <w:highlight w:val="none"/>
          <w:lang w:val="en-US" w:eastAsia="zh-CN" w:bidi="ar"/>
        </w:rPr>
        <w:t>万元工业增加值用水量：区域工业用水量（扣除非常规水等）与工业增加值的比值。</w:t>
      </w:r>
    </w:p>
    <w:p>
      <w:pPr>
        <w:numPr>
          <w:ilvl w:val="0"/>
          <w:numId w:val="0"/>
        </w:numPr>
        <w:ind w:firstLine="600" w:firstLineChars="0"/>
        <w:rPr>
          <w:rFonts w:hint="default" w:ascii="仿宋_GB2312" w:hAnsi="仿宋" w:eastAsia="仿宋_GB2312" w:cs="仿宋"/>
          <w:kern w:val="0"/>
          <w:sz w:val="32"/>
          <w:szCs w:val="32"/>
          <w:highlight w:val="none"/>
          <w:lang w:val="en-US" w:eastAsia="zh-CN" w:bidi="ar"/>
        </w:rPr>
      </w:pPr>
      <w:r>
        <w:rPr>
          <w:rFonts w:hint="eastAsia" w:ascii="汉仪书宋二S" w:hAnsi="汉仪书宋二S" w:eastAsia="汉仪书宋二S" w:cs="汉仪书宋二S"/>
          <w:kern w:val="0"/>
          <w:sz w:val="32"/>
          <w:szCs w:val="32"/>
          <w:highlight w:val="none"/>
          <w:lang w:val="en-US" w:eastAsia="zh-CN" w:bidi="ar"/>
        </w:rPr>
        <w:t>④</w:t>
      </w:r>
      <w:r>
        <w:rPr>
          <w:rFonts w:hint="eastAsia" w:ascii="仿宋_GB2312" w:hAnsi="仿宋" w:eastAsia="仿宋_GB2312" w:cs="仿宋"/>
          <w:kern w:val="0"/>
          <w:sz w:val="32"/>
          <w:szCs w:val="32"/>
          <w:highlight w:val="none"/>
          <w:lang w:val="en-US" w:eastAsia="zh-CN" w:bidi="ar"/>
        </w:rPr>
        <w:t>农田灌溉水有效利用系数：区域内灌入田间可被作物吸收利用的水量与灌溉系统取用的灌溉总水量的比值。</w:t>
      </w:r>
    </w:p>
    <w:p>
      <w:pPr>
        <w:numPr>
          <w:ilvl w:val="0"/>
          <w:numId w:val="0"/>
        </w:numPr>
        <w:ind w:firstLine="640" w:firstLineChars="200"/>
        <w:rPr>
          <w:rFonts w:hint="eastAsia" w:ascii="仿宋_GB2312" w:hAnsi="仿宋" w:eastAsia="仿宋_GB2312" w:cs="仿宋"/>
          <w:kern w:val="0"/>
          <w:sz w:val="32"/>
          <w:szCs w:val="32"/>
          <w:highlight w:val="none"/>
          <w:lang w:val="en-US" w:eastAsia="zh-CN" w:bidi="ar"/>
        </w:rPr>
      </w:pPr>
      <w:r>
        <w:rPr>
          <w:rFonts w:hint="eastAsia" w:ascii="仿宋_GB2312" w:hAnsi="仿宋" w:eastAsia="仿宋_GB2312" w:cs="仿宋"/>
          <w:kern w:val="0"/>
          <w:sz w:val="32"/>
          <w:szCs w:val="32"/>
          <w:highlight w:val="none"/>
          <w:lang w:val="en-US" w:eastAsia="zh-CN" w:bidi="ar"/>
        </w:rPr>
        <w:t>水质补偿指数P和水资源综合评价指数T按7</w:t>
      </w:r>
      <w:r>
        <w:rPr>
          <w:rFonts w:hint="eastAsia" w:ascii="仿宋_GB2312" w:hAnsi="仿宋_GB2312" w:eastAsia="仿宋_GB2312" w:cs="仿宋_GB2312"/>
          <w:kern w:val="0"/>
          <w:sz w:val="32"/>
          <w:szCs w:val="32"/>
          <w:highlight w:val="none"/>
          <w:lang w:val="en-US" w:eastAsia="zh-CN" w:bidi="ar"/>
        </w:rPr>
        <w:t>∶3的权重计算生态补偿指数M，若生态补偿指数M</w:t>
      </w:r>
      <w:r>
        <w:rPr>
          <w:rFonts w:hint="eastAsia" w:ascii="仿宋_GB2312" w:hAnsi="仿宋" w:eastAsia="仿宋_GB2312" w:cs="仿宋"/>
          <w:kern w:val="0"/>
          <w:sz w:val="32"/>
          <w:szCs w:val="32"/>
          <w:highlight w:val="none"/>
          <w:lang w:bidi="ar"/>
        </w:rPr>
        <w:t>≤1</w:t>
      </w:r>
      <w:r>
        <w:rPr>
          <w:rFonts w:hint="eastAsia" w:ascii="仿宋_GB2312" w:hAnsi="仿宋" w:eastAsia="仿宋_GB2312" w:cs="仿宋"/>
          <w:kern w:val="0"/>
          <w:sz w:val="32"/>
          <w:szCs w:val="32"/>
          <w:highlight w:val="none"/>
          <w:lang w:eastAsia="zh-CN" w:bidi="ar"/>
        </w:rPr>
        <w:t>，下游县（市、区）补偿上游县（市、区）；若生态补偿指数</w:t>
      </w:r>
      <w:r>
        <w:rPr>
          <w:rFonts w:hint="eastAsia" w:ascii="仿宋_GB2312" w:hAnsi="仿宋" w:eastAsia="仿宋_GB2312" w:cs="仿宋"/>
          <w:kern w:val="0"/>
          <w:sz w:val="32"/>
          <w:szCs w:val="32"/>
          <w:highlight w:val="none"/>
          <w:lang w:val="en-US" w:eastAsia="zh-CN" w:bidi="ar"/>
        </w:rPr>
        <w:t>M</w:t>
      </w:r>
      <w:r>
        <w:rPr>
          <w:rFonts w:hint="eastAsia" w:ascii="仿宋_GB2312" w:hAnsi="仿宋_GB2312" w:eastAsia="仿宋_GB2312" w:cs="仿宋_GB2312"/>
          <w:kern w:val="0"/>
          <w:sz w:val="32"/>
          <w:szCs w:val="32"/>
          <w:highlight w:val="none"/>
          <w:lang w:val="en-US" w:eastAsia="zh-CN" w:bidi="ar"/>
        </w:rPr>
        <w:t>&gt;</w:t>
      </w:r>
      <w:r>
        <w:rPr>
          <w:rFonts w:hint="eastAsia" w:ascii="仿宋_GB2312" w:hAnsi="仿宋" w:eastAsia="仿宋_GB2312" w:cs="仿宋"/>
          <w:kern w:val="0"/>
          <w:sz w:val="32"/>
          <w:szCs w:val="32"/>
          <w:highlight w:val="none"/>
          <w:lang w:val="en-US" w:eastAsia="zh-CN" w:bidi="ar"/>
        </w:rPr>
        <w:t>1或上游出现重大水污染事故，上游县（市、区）补偿下游县（市、区）。同时对水质补偿指数P</w:t>
      </w:r>
      <w:r>
        <w:rPr>
          <w:rFonts w:hint="eastAsia" w:ascii="仿宋_GB2312" w:hAnsi="仿宋" w:eastAsia="仿宋_GB2312" w:cs="仿宋"/>
          <w:kern w:val="0"/>
          <w:sz w:val="32"/>
          <w:szCs w:val="32"/>
          <w:highlight w:val="none"/>
          <w:lang w:bidi="ar"/>
        </w:rPr>
        <w:t>≤</w:t>
      </w:r>
      <w:r>
        <w:rPr>
          <w:rFonts w:hint="eastAsia" w:ascii="仿宋_GB2312" w:hAnsi="仿宋" w:eastAsia="仿宋_GB2312" w:cs="仿宋"/>
          <w:kern w:val="0"/>
          <w:sz w:val="32"/>
          <w:szCs w:val="32"/>
          <w:highlight w:val="none"/>
          <w:lang w:val="en-US" w:eastAsia="zh-CN" w:bidi="ar"/>
        </w:rPr>
        <w:t>0.85且生态补偿指数M</w:t>
      </w:r>
      <w:r>
        <w:rPr>
          <w:rFonts w:hint="eastAsia" w:ascii="仿宋_GB2312" w:hAnsi="仿宋" w:eastAsia="仿宋_GB2312" w:cs="仿宋"/>
          <w:kern w:val="0"/>
          <w:sz w:val="32"/>
          <w:szCs w:val="32"/>
          <w:highlight w:val="none"/>
          <w:lang w:bidi="ar"/>
        </w:rPr>
        <w:t>≤1</w:t>
      </w:r>
      <w:r>
        <w:rPr>
          <w:rFonts w:hint="eastAsia" w:ascii="仿宋_GB2312" w:hAnsi="仿宋" w:eastAsia="仿宋_GB2312" w:cs="仿宋"/>
          <w:kern w:val="0"/>
          <w:sz w:val="32"/>
          <w:szCs w:val="32"/>
          <w:highlight w:val="none"/>
          <w:lang w:eastAsia="zh-CN" w:bidi="ar"/>
        </w:rPr>
        <w:t>的县（市、区）进行排名，根据排名分档进行补偿奖励（具体办法另行制定），资金在县（市、区）和市级出资的资金中安排。</w:t>
      </w:r>
    </w:p>
    <w:p>
      <w:pPr>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(五)资金用途</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eastAsia="zh-CN"/>
        </w:rPr>
        <w:t>本年度补偿资金在下一年度预算中安排，</w:t>
      </w:r>
      <w:r>
        <w:rPr>
          <w:rFonts w:hint="eastAsia" w:ascii="仿宋_GB2312" w:eastAsia="仿宋_GB2312"/>
          <w:sz w:val="32"/>
          <w:szCs w:val="32"/>
          <w:highlight w:val="none"/>
        </w:rPr>
        <w:t>专项用于椒灵江流域</w:t>
      </w:r>
      <w:r>
        <w:rPr>
          <w:rFonts w:hint="eastAsia" w:ascii="仿宋_GB2312" w:eastAsia="仿宋_GB2312"/>
          <w:sz w:val="32"/>
          <w:szCs w:val="32"/>
          <w:highlight w:val="none"/>
          <w:lang w:eastAsia="zh-CN"/>
        </w:rPr>
        <w:t>水环境治理、水资源节约和保护、水土流失治理、</w:t>
      </w:r>
      <w:r>
        <w:rPr>
          <w:rFonts w:hint="eastAsia" w:ascii="仿宋_GB2312" w:hAnsi="仿宋" w:eastAsia="仿宋_GB2312" w:cs="仿宋"/>
          <w:kern w:val="0"/>
          <w:sz w:val="32"/>
          <w:szCs w:val="32"/>
          <w:highlight w:val="none"/>
          <w:lang w:bidi="ar"/>
        </w:rPr>
        <w:t>环保基础设施建设和管理</w:t>
      </w:r>
      <w:r>
        <w:rPr>
          <w:rFonts w:hint="eastAsia" w:ascii="仿宋_GB2312" w:hAnsi="仿宋" w:eastAsia="仿宋_GB2312" w:cs="仿宋"/>
          <w:kern w:val="0"/>
          <w:sz w:val="32"/>
          <w:szCs w:val="32"/>
          <w:highlight w:val="none"/>
          <w:lang w:eastAsia="zh-CN" w:bidi="ar"/>
        </w:rPr>
        <w:t>、流域综合治理</w:t>
      </w:r>
      <w:r>
        <w:rPr>
          <w:rFonts w:hint="eastAsia" w:ascii="仿宋_GB2312" w:hAnsi="仿宋" w:eastAsia="仿宋_GB2312" w:cs="仿宋"/>
          <w:kern w:val="0"/>
          <w:sz w:val="32"/>
          <w:szCs w:val="32"/>
          <w:highlight w:val="none"/>
          <w:lang w:bidi="ar"/>
        </w:rPr>
        <w:t>等</w:t>
      </w:r>
      <w:r>
        <w:rPr>
          <w:rFonts w:hint="eastAsia" w:ascii="仿宋_GB2312" w:hAnsi="仿宋" w:eastAsia="仿宋_GB2312" w:cs="仿宋"/>
          <w:kern w:val="0"/>
          <w:sz w:val="32"/>
          <w:szCs w:val="32"/>
          <w:highlight w:val="none"/>
          <w:lang w:eastAsia="zh-CN" w:bidi="ar"/>
        </w:rPr>
        <w:t>，</w:t>
      </w:r>
      <w:r>
        <w:rPr>
          <w:rFonts w:hint="eastAsia" w:ascii="仿宋_GB2312" w:eastAsia="仿宋_GB2312"/>
          <w:sz w:val="32"/>
          <w:szCs w:val="32"/>
          <w:highlight w:val="none"/>
        </w:rPr>
        <w:t>不得截留、挤占和挪用。</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各地</w:t>
      </w:r>
      <w:r>
        <w:rPr>
          <w:rFonts w:hint="eastAsia" w:ascii="仿宋_GB2312" w:eastAsia="仿宋_GB2312"/>
          <w:sz w:val="32"/>
          <w:szCs w:val="32"/>
          <w:highlight w:val="none"/>
          <w:lang w:eastAsia="zh-CN"/>
        </w:rPr>
        <w:t>应</w:t>
      </w:r>
      <w:r>
        <w:rPr>
          <w:rFonts w:hint="eastAsia" w:ascii="仿宋_GB2312" w:eastAsia="仿宋_GB2312"/>
          <w:sz w:val="32"/>
          <w:szCs w:val="32"/>
          <w:highlight w:val="none"/>
        </w:rPr>
        <w:t>分别加强对补偿资金使用情况的监管</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确保补偿资金合法、合规、合理使用</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充分发挥补偿资金使用效益。补偿资金使用方向和具体项目报</w:t>
      </w:r>
      <w:r>
        <w:rPr>
          <w:rFonts w:hint="eastAsia" w:ascii="仿宋_GB2312" w:eastAsia="仿宋_GB2312"/>
          <w:sz w:val="32"/>
          <w:szCs w:val="32"/>
          <w:highlight w:val="none"/>
          <w:lang w:eastAsia="zh-CN"/>
        </w:rPr>
        <w:t>台州</w:t>
      </w:r>
      <w:r>
        <w:rPr>
          <w:rFonts w:hint="eastAsia" w:ascii="仿宋_GB2312" w:eastAsia="仿宋_GB2312"/>
          <w:sz w:val="32"/>
          <w:szCs w:val="32"/>
          <w:highlight w:val="none"/>
        </w:rPr>
        <w:t>市财政局</w:t>
      </w:r>
      <w:r>
        <w:rPr>
          <w:rFonts w:hint="eastAsia" w:ascii="仿宋_GB2312" w:eastAsia="仿宋_GB2312"/>
          <w:sz w:val="32"/>
          <w:szCs w:val="32"/>
          <w:highlight w:val="none"/>
          <w:lang w:eastAsia="zh-CN"/>
        </w:rPr>
        <w:t>、台州市生态环境</w:t>
      </w:r>
      <w:r>
        <w:rPr>
          <w:rFonts w:hint="eastAsia" w:ascii="仿宋_GB2312" w:eastAsia="仿宋_GB2312"/>
          <w:sz w:val="32"/>
          <w:szCs w:val="32"/>
          <w:highlight w:val="none"/>
        </w:rPr>
        <w:t>局</w:t>
      </w:r>
      <w:r>
        <w:rPr>
          <w:rFonts w:hint="eastAsia" w:ascii="仿宋_GB2312" w:eastAsia="仿宋_GB2312"/>
          <w:sz w:val="32"/>
          <w:szCs w:val="32"/>
          <w:highlight w:val="none"/>
          <w:lang w:eastAsia="zh-CN"/>
        </w:rPr>
        <w:t>、台州市</w:t>
      </w:r>
      <w:r>
        <w:rPr>
          <w:rFonts w:hint="eastAsia" w:ascii="仿宋_GB2312" w:eastAsia="仿宋_GB2312"/>
          <w:sz w:val="32"/>
          <w:szCs w:val="32"/>
          <w:highlight w:val="none"/>
        </w:rPr>
        <w:t>水利局备案</w:t>
      </w:r>
      <w:r>
        <w:rPr>
          <w:rFonts w:hint="eastAsia" w:ascii="仿宋_GB2312" w:eastAsia="仿宋_GB2312"/>
          <w:sz w:val="32"/>
          <w:szCs w:val="32"/>
          <w:highlight w:val="none"/>
          <w:lang w:eastAsia="zh-CN"/>
        </w:rPr>
        <w:t>，</w:t>
      </w:r>
      <w:r>
        <w:rPr>
          <w:rFonts w:hint="eastAsia" w:ascii="仿宋_GB2312" w:hAnsi="宋体" w:eastAsia="仿宋_GB2312" w:cs="宋体"/>
          <w:sz w:val="32"/>
          <w:szCs w:val="32"/>
          <w:highlight w:val="none"/>
          <w:lang w:eastAsia="zh-CN"/>
        </w:rPr>
        <w:t>对于资金使用不符合规定的县（市、区）人民政府，由</w:t>
      </w:r>
      <w:r>
        <w:rPr>
          <w:rFonts w:hint="eastAsia" w:ascii="仿宋_GB2312" w:eastAsia="仿宋_GB2312"/>
          <w:sz w:val="32"/>
          <w:szCs w:val="32"/>
          <w:highlight w:val="none"/>
          <w:lang w:eastAsia="zh-CN"/>
        </w:rPr>
        <w:t>台州</w:t>
      </w:r>
      <w:r>
        <w:rPr>
          <w:rFonts w:hint="eastAsia" w:ascii="仿宋_GB2312" w:eastAsia="仿宋_GB2312"/>
          <w:sz w:val="32"/>
          <w:szCs w:val="32"/>
          <w:highlight w:val="none"/>
        </w:rPr>
        <w:t>市财政局</w:t>
      </w:r>
      <w:r>
        <w:rPr>
          <w:rFonts w:hint="eastAsia" w:ascii="仿宋_GB2312" w:eastAsia="仿宋_GB2312"/>
          <w:sz w:val="32"/>
          <w:szCs w:val="32"/>
          <w:highlight w:val="none"/>
          <w:lang w:eastAsia="zh-CN"/>
        </w:rPr>
        <w:t>、台州市生态环境</w:t>
      </w:r>
      <w:r>
        <w:rPr>
          <w:rFonts w:hint="eastAsia" w:ascii="仿宋_GB2312" w:eastAsia="仿宋_GB2312"/>
          <w:sz w:val="32"/>
          <w:szCs w:val="32"/>
          <w:highlight w:val="none"/>
        </w:rPr>
        <w:t>局</w:t>
      </w:r>
      <w:r>
        <w:rPr>
          <w:rFonts w:hint="eastAsia" w:ascii="仿宋_GB2312" w:eastAsia="仿宋_GB2312"/>
          <w:sz w:val="32"/>
          <w:szCs w:val="32"/>
          <w:highlight w:val="none"/>
          <w:lang w:eastAsia="zh-CN"/>
        </w:rPr>
        <w:t>、台州市</w:t>
      </w:r>
      <w:r>
        <w:rPr>
          <w:rFonts w:hint="eastAsia" w:ascii="仿宋_GB2312" w:eastAsia="仿宋_GB2312"/>
          <w:sz w:val="32"/>
          <w:szCs w:val="32"/>
          <w:highlight w:val="none"/>
        </w:rPr>
        <w:t>水利局</w:t>
      </w:r>
      <w:r>
        <w:rPr>
          <w:rFonts w:hint="eastAsia" w:ascii="仿宋_GB2312" w:eastAsia="仿宋_GB2312"/>
          <w:sz w:val="32"/>
          <w:szCs w:val="32"/>
          <w:highlight w:val="none"/>
          <w:lang w:eastAsia="zh-CN"/>
        </w:rPr>
        <w:t>组成的</w:t>
      </w:r>
      <w:r>
        <w:rPr>
          <w:rFonts w:hint="eastAsia" w:ascii="仿宋_GB2312" w:hAnsi="宋体" w:eastAsia="仿宋_GB2312" w:cs="宋体"/>
          <w:sz w:val="32"/>
          <w:szCs w:val="32"/>
          <w:highlight w:val="none"/>
          <w:lang w:eastAsia="zh-CN"/>
        </w:rPr>
        <w:t>考核工作组有权在下一年度将奖励资金收回统筹安排。</w:t>
      </w:r>
    </w:p>
    <w:p>
      <w:pPr>
        <w:numPr>
          <w:ilvl w:val="0"/>
          <w:numId w:val="1"/>
        </w:numPr>
        <w:ind w:left="600" w:leftChars="250" w:firstLine="0" w:firstLineChars="0"/>
        <w:rPr>
          <w:rFonts w:hint="eastAsia" w:ascii="楷体_GB2312" w:hAnsi="楷体_GB2312" w:eastAsia="楷体_GB2312" w:cs="楷体_GB2312"/>
          <w:b w:val="0"/>
          <w:bCs/>
          <w:kern w:val="0"/>
          <w:sz w:val="32"/>
          <w:szCs w:val="32"/>
          <w:highlight w:val="none"/>
          <w:lang w:bidi="ar"/>
        </w:rPr>
      </w:pPr>
      <w:r>
        <w:rPr>
          <w:rFonts w:hint="eastAsia" w:ascii="楷体_GB2312" w:hAnsi="楷体_GB2312" w:eastAsia="楷体_GB2312" w:cs="楷体_GB2312"/>
          <w:b w:val="0"/>
          <w:bCs/>
          <w:kern w:val="0"/>
          <w:sz w:val="32"/>
          <w:szCs w:val="32"/>
          <w:highlight w:val="none"/>
          <w:lang w:bidi="ar"/>
        </w:rPr>
        <w:t>补偿协议</w:t>
      </w:r>
    </w:p>
    <w:p>
      <w:pPr>
        <w:numPr>
          <w:ilvl w:val="0"/>
          <w:numId w:val="0"/>
        </w:numPr>
        <w:ind w:left="0" w:leftChars="0"/>
        <w:rPr>
          <w:rFonts w:hint="eastAsia" w:ascii="仿宋_GB2312" w:hAnsi="仿宋" w:eastAsia="仿宋_GB2312" w:cs="仿宋"/>
          <w:kern w:val="0"/>
          <w:sz w:val="32"/>
          <w:szCs w:val="32"/>
          <w:highlight w:val="none"/>
          <w:lang w:bidi="ar"/>
        </w:rPr>
      </w:pPr>
      <w:r>
        <w:rPr>
          <w:rFonts w:hint="eastAsia" w:ascii="仿宋_GB2312" w:hAnsi="仿宋" w:eastAsia="仿宋_GB2312" w:cs="仿宋"/>
          <w:kern w:val="0"/>
          <w:sz w:val="32"/>
          <w:szCs w:val="32"/>
          <w:highlight w:val="none"/>
          <w:lang w:val="en-US" w:eastAsia="zh-CN" w:bidi="ar"/>
        </w:rPr>
        <w:t xml:space="preserve">    </w:t>
      </w:r>
      <w:r>
        <w:rPr>
          <w:rFonts w:hint="eastAsia" w:ascii="仿宋_GB2312" w:hAnsi="仿宋" w:eastAsia="仿宋_GB2312" w:cs="仿宋"/>
          <w:kern w:val="0"/>
          <w:sz w:val="32"/>
          <w:szCs w:val="32"/>
          <w:highlight w:val="none"/>
          <w:lang w:bidi="ar"/>
        </w:rPr>
        <w:t>椒灵江相关</w:t>
      </w:r>
      <w:r>
        <w:rPr>
          <w:rFonts w:hint="eastAsia" w:ascii="仿宋_GB2312" w:hAnsi="仿宋" w:eastAsia="仿宋_GB2312" w:cs="仿宋"/>
          <w:kern w:val="0"/>
          <w:sz w:val="32"/>
          <w:szCs w:val="32"/>
          <w:highlight w:val="none"/>
          <w:lang w:eastAsia="zh-CN" w:bidi="ar"/>
        </w:rPr>
        <w:t>县（市、区）</w:t>
      </w:r>
      <w:r>
        <w:rPr>
          <w:rFonts w:hint="eastAsia" w:ascii="仿宋_GB2312" w:hAnsi="仿宋" w:eastAsia="仿宋_GB2312" w:cs="仿宋"/>
          <w:kern w:val="0"/>
          <w:sz w:val="32"/>
          <w:szCs w:val="32"/>
          <w:highlight w:val="none"/>
          <w:lang w:bidi="ar"/>
        </w:rPr>
        <w:t>根据本实施方案</w:t>
      </w:r>
      <w:r>
        <w:rPr>
          <w:rFonts w:hint="eastAsia" w:ascii="仿宋_GB2312" w:hAnsi="仿宋" w:eastAsia="仿宋_GB2312" w:cs="仿宋"/>
          <w:kern w:val="0"/>
          <w:sz w:val="32"/>
          <w:szCs w:val="32"/>
          <w:highlight w:val="none"/>
          <w:lang w:eastAsia="zh-CN" w:bidi="ar"/>
        </w:rPr>
        <w:t>，</w:t>
      </w:r>
      <w:r>
        <w:rPr>
          <w:rFonts w:hint="eastAsia" w:ascii="仿宋_GB2312" w:hAnsi="仿宋" w:eastAsia="仿宋_GB2312" w:cs="仿宋"/>
          <w:kern w:val="0"/>
          <w:sz w:val="32"/>
          <w:szCs w:val="32"/>
          <w:highlight w:val="none"/>
          <w:lang w:bidi="ar"/>
        </w:rPr>
        <w:t>正式签订补偿</w:t>
      </w:r>
      <w:r>
        <w:rPr>
          <w:rFonts w:hint="eastAsia" w:ascii="仿宋_GB2312" w:hAnsi="仿宋" w:eastAsia="仿宋_GB2312" w:cs="仿宋"/>
          <w:kern w:val="0"/>
          <w:sz w:val="32"/>
          <w:szCs w:val="32"/>
          <w:highlight w:val="none"/>
          <w:lang w:eastAsia="zh-CN" w:bidi="ar"/>
        </w:rPr>
        <w:t>协</w:t>
      </w:r>
      <w:r>
        <w:rPr>
          <w:rFonts w:hint="eastAsia" w:ascii="仿宋_GB2312" w:hAnsi="仿宋" w:eastAsia="仿宋_GB2312" w:cs="仿宋"/>
          <w:kern w:val="0"/>
          <w:sz w:val="32"/>
          <w:szCs w:val="32"/>
          <w:highlight w:val="none"/>
          <w:lang w:bidi="ar"/>
        </w:rPr>
        <w:t>议并报</w:t>
      </w:r>
      <w:r>
        <w:rPr>
          <w:rFonts w:hint="eastAsia" w:ascii="仿宋_GB2312" w:hAnsi="仿宋" w:eastAsia="仿宋_GB2312" w:cs="仿宋"/>
          <w:kern w:val="0"/>
          <w:sz w:val="32"/>
          <w:szCs w:val="32"/>
          <w:highlight w:val="none"/>
          <w:lang w:eastAsia="zh-CN" w:bidi="ar"/>
        </w:rPr>
        <w:t>台州</w:t>
      </w:r>
      <w:r>
        <w:rPr>
          <w:rFonts w:hint="eastAsia" w:ascii="仿宋_GB2312" w:hAnsi="仿宋" w:eastAsia="仿宋_GB2312" w:cs="仿宋"/>
          <w:kern w:val="0"/>
          <w:sz w:val="32"/>
          <w:szCs w:val="32"/>
          <w:highlight w:val="none"/>
          <w:lang w:bidi="ar"/>
        </w:rPr>
        <w:t>市</w:t>
      </w:r>
      <w:r>
        <w:rPr>
          <w:rFonts w:hint="eastAsia" w:ascii="仿宋_GB2312" w:hAnsi="仿宋" w:eastAsia="仿宋_GB2312" w:cs="仿宋"/>
          <w:kern w:val="0"/>
          <w:sz w:val="32"/>
          <w:szCs w:val="32"/>
          <w:highlight w:val="none"/>
          <w:lang w:eastAsia="zh-CN" w:bidi="ar"/>
        </w:rPr>
        <w:t>人民</w:t>
      </w:r>
      <w:r>
        <w:rPr>
          <w:rFonts w:hint="eastAsia" w:ascii="仿宋_GB2312" w:hAnsi="仿宋" w:eastAsia="仿宋_GB2312" w:cs="仿宋"/>
          <w:kern w:val="0"/>
          <w:sz w:val="32"/>
          <w:szCs w:val="32"/>
          <w:highlight w:val="none"/>
          <w:lang w:bidi="ar"/>
        </w:rPr>
        <w:t>政府备案，</w:t>
      </w:r>
      <w:r>
        <w:rPr>
          <w:rFonts w:hint="eastAsia" w:ascii="仿宋_GB2312" w:hAnsi="仿宋" w:eastAsia="仿宋_GB2312" w:cs="仿宋"/>
          <w:kern w:val="0"/>
          <w:sz w:val="32"/>
          <w:szCs w:val="32"/>
          <w:highlight w:val="none"/>
          <w:lang w:eastAsia="zh-CN" w:bidi="ar"/>
        </w:rPr>
        <w:t>同时</w:t>
      </w:r>
      <w:r>
        <w:rPr>
          <w:rFonts w:hint="eastAsia" w:ascii="仿宋_GB2312" w:hAnsi="仿宋" w:eastAsia="仿宋_GB2312" w:cs="仿宋"/>
          <w:kern w:val="0"/>
          <w:sz w:val="32"/>
          <w:szCs w:val="32"/>
          <w:highlight w:val="none"/>
          <w:lang w:bidi="ar"/>
        </w:rPr>
        <w:t>抄送</w:t>
      </w:r>
      <w:r>
        <w:rPr>
          <w:rFonts w:hint="eastAsia" w:ascii="仿宋_GB2312" w:hAnsi="仿宋" w:eastAsia="仿宋_GB2312" w:cs="仿宋"/>
          <w:kern w:val="0"/>
          <w:sz w:val="32"/>
          <w:szCs w:val="32"/>
          <w:highlight w:val="none"/>
          <w:lang w:eastAsia="zh-CN" w:bidi="ar"/>
        </w:rPr>
        <w:t>台州</w:t>
      </w:r>
      <w:r>
        <w:rPr>
          <w:rFonts w:hint="eastAsia" w:ascii="仿宋_GB2312" w:hAnsi="仿宋" w:eastAsia="仿宋_GB2312" w:cs="仿宋"/>
          <w:kern w:val="0"/>
          <w:sz w:val="32"/>
          <w:szCs w:val="32"/>
          <w:highlight w:val="none"/>
          <w:lang w:bidi="ar"/>
        </w:rPr>
        <w:t>市财政局</w:t>
      </w:r>
      <w:r>
        <w:rPr>
          <w:rFonts w:hint="eastAsia" w:ascii="仿宋_GB2312" w:hAnsi="仿宋" w:eastAsia="仿宋_GB2312" w:cs="仿宋"/>
          <w:kern w:val="0"/>
          <w:sz w:val="32"/>
          <w:szCs w:val="32"/>
          <w:highlight w:val="none"/>
          <w:lang w:eastAsia="zh-CN" w:bidi="ar"/>
        </w:rPr>
        <w:t>、台州市</w:t>
      </w:r>
      <w:r>
        <w:rPr>
          <w:rFonts w:hint="eastAsia" w:ascii="仿宋_GB2312" w:eastAsia="仿宋_GB2312"/>
          <w:sz w:val="32"/>
          <w:szCs w:val="32"/>
          <w:highlight w:val="none"/>
          <w:lang w:eastAsia="zh-CN"/>
        </w:rPr>
        <w:t>生态环境</w:t>
      </w:r>
      <w:r>
        <w:rPr>
          <w:rFonts w:hint="eastAsia" w:ascii="仿宋_GB2312" w:eastAsia="仿宋_GB2312"/>
          <w:sz w:val="32"/>
          <w:szCs w:val="32"/>
          <w:highlight w:val="none"/>
        </w:rPr>
        <w:t>局</w:t>
      </w:r>
      <w:r>
        <w:rPr>
          <w:rFonts w:hint="eastAsia" w:ascii="仿宋_GB2312" w:hAnsi="仿宋" w:eastAsia="仿宋_GB2312" w:cs="仿宋"/>
          <w:kern w:val="0"/>
          <w:sz w:val="32"/>
          <w:szCs w:val="32"/>
          <w:highlight w:val="none"/>
          <w:lang w:bidi="ar"/>
        </w:rPr>
        <w:t>、</w:t>
      </w:r>
      <w:r>
        <w:rPr>
          <w:rFonts w:hint="eastAsia" w:ascii="仿宋_GB2312" w:hAnsi="仿宋" w:eastAsia="仿宋_GB2312" w:cs="仿宋"/>
          <w:kern w:val="0"/>
          <w:sz w:val="32"/>
          <w:szCs w:val="32"/>
          <w:highlight w:val="none"/>
          <w:lang w:eastAsia="zh-CN" w:bidi="ar"/>
        </w:rPr>
        <w:t>台州市</w:t>
      </w:r>
      <w:r>
        <w:rPr>
          <w:rFonts w:hint="eastAsia" w:ascii="仿宋_GB2312" w:hAnsi="仿宋" w:eastAsia="仿宋_GB2312" w:cs="仿宋"/>
          <w:kern w:val="0"/>
          <w:sz w:val="32"/>
          <w:szCs w:val="32"/>
          <w:highlight w:val="none"/>
          <w:lang w:bidi="ar"/>
        </w:rPr>
        <w:t>水利局。补偿协议期限暂定</w:t>
      </w:r>
      <w:r>
        <w:rPr>
          <w:rFonts w:hint="eastAsia" w:ascii="仿宋_GB2312" w:hAnsi="仿宋" w:eastAsia="仿宋_GB2312" w:cs="仿宋"/>
          <w:b w:val="0"/>
          <w:bCs/>
          <w:kern w:val="0"/>
          <w:sz w:val="32"/>
          <w:szCs w:val="32"/>
          <w:highlight w:val="none"/>
          <w:lang w:eastAsia="zh-CN" w:bidi="ar"/>
        </w:rPr>
        <w:t>五</w:t>
      </w:r>
      <w:r>
        <w:rPr>
          <w:rFonts w:hint="eastAsia" w:ascii="仿宋_GB2312" w:hAnsi="仿宋" w:eastAsia="仿宋_GB2312" w:cs="仿宋"/>
          <w:b w:val="0"/>
          <w:bCs/>
          <w:kern w:val="0"/>
          <w:sz w:val="32"/>
          <w:szCs w:val="32"/>
          <w:highlight w:val="none"/>
          <w:lang w:bidi="ar"/>
        </w:rPr>
        <w:t>年</w:t>
      </w:r>
      <w:r>
        <w:rPr>
          <w:rFonts w:hint="eastAsia" w:ascii="仿宋_GB2312" w:hAnsi="仿宋" w:eastAsia="仿宋_GB2312" w:cs="仿宋"/>
          <w:kern w:val="0"/>
          <w:sz w:val="32"/>
          <w:szCs w:val="32"/>
          <w:highlight w:val="none"/>
          <w:lang w:bidi="ar"/>
        </w:rPr>
        <w:t>。</w:t>
      </w:r>
    </w:p>
    <w:p>
      <w:pPr>
        <w:numPr>
          <w:ilvl w:val="0"/>
          <w:numId w:val="0"/>
        </w:numPr>
        <w:rPr>
          <w:rFonts w:hint="eastAsia" w:ascii="仿宋_GB2312" w:hAnsi="黑体" w:eastAsia="仿宋_GB2312"/>
          <w:b/>
          <w:sz w:val="32"/>
          <w:szCs w:val="32"/>
          <w:highlight w:val="none"/>
        </w:rPr>
      </w:pPr>
      <w:r>
        <w:rPr>
          <w:rFonts w:hint="eastAsia" w:ascii="仿宋_GB2312" w:hAnsi="仿宋" w:eastAsia="仿宋_GB2312" w:cs="仿宋"/>
          <w:kern w:val="0"/>
          <w:sz w:val="32"/>
          <w:szCs w:val="32"/>
          <w:highlight w:val="none"/>
          <w:lang w:bidi="ar"/>
        </w:rPr>
        <w:t xml:space="preserve">    </w:t>
      </w:r>
      <w:r>
        <w:rPr>
          <w:rFonts w:hint="eastAsia" w:ascii="楷体_GB2312" w:hAnsi="楷体_GB2312" w:eastAsia="楷体_GB2312" w:cs="楷体_GB2312"/>
          <w:b w:val="0"/>
          <w:bCs/>
          <w:sz w:val="32"/>
          <w:szCs w:val="32"/>
          <w:highlight w:val="none"/>
        </w:rPr>
        <w:t>(七)</w:t>
      </w:r>
      <w:r>
        <w:rPr>
          <w:rFonts w:hint="eastAsia" w:ascii="楷体_GB2312" w:hAnsi="楷体_GB2312" w:eastAsia="楷体_GB2312" w:cs="楷体_GB2312"/>
          <w:b w:val="0"/>
          <w:bCs/>
          <w:kern w:val="0"/>
          <w:sz w:val="32"/>
          <w:szCs w:val="32"/>
          <w:highlight w:val="none"/>
          <w:lang w:bidi="ar"/>
        </w:rPr>
        <w:t xml:space="preserve"> </w:t>
      </w:r>
      <w:r>
        <w:rPr>
          <w:rFonts w:hint="eastAsia" w:ascii="楷体_GB2312" w:hAnsi="楷体_GB2312" w:eastAsia="楷体_GB2312" w:cs="楷体_GB2312"/>
          <w:b w:val="0"/>
          <w:bCs/>
          <w:sz w:val="32"/>
          <w:szCs w:val="32"/>
          <w:highlight w:val="none"/>
        </w:rPr>
        <w:t>职责分工</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eastAsia="zh-CN"/>
        </w:rPr>
        <w:t>台州</w:t>
      </w:r>
      <w:r>
        <w:rPr>
          <w:rFonts w:hint="eastAsia" w:ascii="仿宋_GB2312" w:eastAsia="仿宋_GB2312"/>
          <w:sz w:val="32"/>
          <w:szCs w:val="32"/>
          <w:highlight w:val="none"/>
        </w:rPr>
        <w:t>市财政局、</w:t>
      </w:r>
      <w:r>
        <w:rPr>
          <w:rFonts w:hint="eastAsia" w:ascii="仿宋_GB2312" w:eastAsia="仿宋_GB2312"/>
          <w:sz w:val="32"/>
          <w:szCs w:val="32"/>
          <w:highlight w:val="none"/>
          <w:lang w:eastAsia="zh-CN"/>
        </w:rPr>
        <w:t>台州市生态环境</w:t>
      </w:r>
      <w:r>
        <w:rPr>
          <w:rFonts w:hint="eastAsia" w:ascii="仿宋_GB2312" w:eastAsia="仿宋_GB2312"/>
          <w:sz w:val="32"/>
          <w:szCs w:val="32"/>
          <w:highlight w:val="none"/>
        </w:rPr>
        <w:t>局、</w:t>
      </w:r>
      <w:r>
        <w:rPr>
          <w:rFonts w:hint="eastAsia" w:ascii="仿宋_GB2312" w:eastAsia="仿宋_GB2312"/>
          <w:sz w:val="32"/>
          <w:szCs w:val="32"/>
          <w:highlight w:val="none"/>
          <w:lang w:eastAsia="zh-CN"/>
        </w:rPr>
        <w:t>台州市</w:t>
      </w:r>
      <w:r>
        <w:rPr>
          <w:rFonts w:hint="eastAsia" w:ascii="仿宋_GB2312" w:eastAsia="仿宋_GB2312"/>
          <w:sz w:val="32"/>
          <w:szCs w:val="32"/>
          <w:highlight w:val="none"/>
        </w:rPr>
        <w:t>水利局负责指导椒灵江流域上下游横向</w:t>
      </w:r>
      <w:r>
        <w:rPr>
          <w:rFonts w:hint="eastAsia" w:ascii="仿宋_GB2312" w:eastAsia="仿宋_GB2312"/>
          <w:sz w:val="32"/>
          <w:szCs w:val="32"/>
          <w:highlight w:val="none"/>
          <w:lang w:eastAsia="zh-CN"/>
        </w:rPr>
        <w:t>生</w:t>
      </w:r>
      <w:r>
        <w:rPr>
          <w:rFonts w:hint="eastAsia" w:ascii="仿宋_GB2312" w:eastAsia="仿宋_GB2312"/>
          <w:sz w:val="32"/>
          <w:szCs w:val="32"/>
          <w:highlight w:val="none"/>
        </w:rPr>
        <w:t>态补偿工作</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监管协议的落实情况、资金拨付以及资</w:t>
      </w:r>
      <w:r>
        <w:rPr>
          <w:rFonts w:hint="eastAsia" w:ascii="仿宋_GB2312" w:eastAsia="仿宋_GB2312"/>
          <w:sz w:val="32"/>
          <w:szCs w:val="32"/>
          <w:highlight w:val="none"/>
          <w:lang w:eastAsia="zh-CN"/>
        </w:rPr>
        <w:t>金</w:t>
      </w:r>
      <w:r>
        <w:rPr>
          <w:rFonts w:hint="eastAsia" w:ascii="仿宋_GB2312" w:eastAsia="仿宋_GB2312"/>
          <w:sz w:val="32"/>
          <w:szCs w:val="32"/>
          <w:highlight w:val="none"/>
        </w:rPr>
        <w:t>使用情况</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及时协调解决工作中出现的问题。</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椒灵江流域涉及的仙居县、天台县、临海市、黄岩区、椒江区</w:t>
      </w:r>
      <w:r>
        <w:rPr>
          <w:rFonts w:hint="eastAsia" w:ascii="仿宋_GB2312" w:eastAsia="仿宋_GB2312"/>
          <w:sz w:val="32"/>
          <w:szCs w:val="32"/>
          <w:highlight w:val="none"/>
          <w:lang w:eastAsia="zh-CN"/>
        </w:rPr>
        <w:t>人民</w:t>
      </w:r>
      <w:r>
        <w:rPr>
          <w:rFonts w:hint="eastAsia" w:ascii="仿宋_GB2312" w:eastAsia="仿宋_GB2312"/>
          <w:sz w:val="32"/>
          <w:szCs w:val="32"/>
          <w:highlight w:val="none"/>
        </w:rPr>
        <w:t>政府负责补偿协议的落实</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并按照要求落实相应的补偿资金。</w:t>
      </w:r>
    </w:p>
    <w:p>
      <w:pPr>
        <w:numPr>
          <w:ilvl w:val="0"/>
          <w:numId w:val="2"/>
        </w:numPr>
        <w:ind w:firstLine="640" w:firstLineChars="200"/>
        <w:rPr>
          <w:rFonts w:hint="eastAsia" w:ascii="楷体_GB2312" w:hAnsi="楷体_GB2312" w:eastAsia="楷体_GB2312" w:cs="楷体_GB2312"/>
          <w:b w:val="0"/>
          <w:bCs/>
          <w:kern w:val="0"/>
          <w:sz w:val="32"/>
          <w:szCs w:val="32"/>
          <w:highlight w:val="none"/>
          <w:lang w:eastAsia="zh-CN" w:bidi="ar"/>
        </w:rPr>
      </w:pPr>
      <w:r>
        <w:rPr>
          <w:rFonts w:hint="eastAsia" w:ascii="楷体_GB2312" w:hAnsi="楷体_GB2312" w:eastAsia="楷体_GB2312" w:cs="楷体_GB2312"/>
          <w:b w:val="0"/>
          <w:bCs/>
          <w:kern w:val="0"/>
          <w:sz w:val="32"/>
          <w:szCs w:val="32"/>
          <w:highlight w:val="none"/>
          <w:lang w:eastAsia="zh-CN" w:bidi="ar"/>
        </w:rPr>
        <w:t>附则</w:t>
      </w:r>
    </w:p>
    <w:p>
      <w:pPr>
        <w:numPr>
          <w:ilvl w:val="-1"/>
          <w:numId w:val="0"/>
        </w:numPr>
        <w:ind w:firstLine="640" w:firstLineChars="200"/>
        <w:rPr>
          <w:rFonts w:hint="default" w:ascii="楷体_GB2312" w:hAnsi="楷体_GB2312" w:eastAsia="仿宋_GB2312" w:cs="楷体_GB2312"/>
          <w:b w:val="0"/>
          <w:bCs/>
          <w:kern w:val="0"/>
          <w:sz w:val="32"/>
          <w:szCs w:val="32"/>
          <w:highlight w:val="none"/>
          <w:lang w:val="en-US" w:eastAsia="zh-CN" w:bidi="ar"/>
        </w:rPr>
      </w:pPr>
      <w:r>
        <w:rPr>
          <w:rFonts w:hint="eastAsia" w:ascii="仿宋_GB2312" w:hAnsi="宋体" w:eastAsia="仿宋_GB2312" w:cs="宋体"/>
          <w:b w:val="0"/>
          <w:bCs w:val="0"/>
          <w:kern w:val="2"/>
          <w:sz w:val="32"/>
          <w:szCs w:val="32"/>
          <w:highlight w:val="none"/>
          <w:lang w:eastAsia="zh-CN" w:bidi="ar"/>
        </w:rPr>
        <w:t>本方案自</w:t>
      </w:r>
      <w:r>
        <w:rPr>
          <w:rFonts w:hint="eastAsia" w:ascii="仿宋_GB2312" w:eastAsia="仿宋_GB2312" w:cs="宋体"/>
          <w:b w:val="0"/>
          <w:bCs w:val="0"/>
          <w:kern w:val="2"/>
          <w:sz w:val="32"/>
          <w:szCs w:val="32"/>
          <w:highlight w:val="none"/>
          <w:lang w:val="en-US" w:eastAsia="zh-CN" w:bidi="ar"/>
        </w:rPr>
        <w:t>2022年</w:t>
      </w:r>
      <w:r>
        <w:rPr>
          <w:rFonts w:hint="default" w:ascii="仿宋_GB2312" w:eastAsia="仿宋_GB2312" w:cs="宋体"/>
          <w:b w:val="0"/>
          <w:bCs w:val="0"/>
          <w:kern w:val="2"/>
          <w:sz w:val="32"/>
          <w:szCs w:val="32"/>
          <w:highlight w:val="none"/>
          <w:lang w:val="en" w:eastAsia="zh-CN" w:bidi="ar"/>
        </w:rPr>
        <w:t>xx</w:t>
      </w:r>
      <w:r>
        <w:rPr>
          <w:rFonts w:hint="eastAsia" w:ascii="仿宋_GB2312" w:eastAsia="仿宋_GB2312" w:cs="宋体"/>
          <w:b w:val="0"/>
          <w:bCs w:val="0"/>
          <w:kern w:val="2"/>
          <w:sz w:val="32"/>
          <w:szCs w:val="32"/>
          <w:highlight w:val="none"/>
          <w:lang w:val="en" w:eastAsia="zh-CN" w:bidi="ar"/>
        </w:rPr>
        <w:t>月</w:t>
      </w:r>
      <w:r>
        <w:rPr>
          <w:rFonts w:hint="default" w:ascii="仿宋_GB2312" w:eastAsia="仿宋_GB2312" w:cs="宋体"/>
          <w:b w:val="0"/>
          <w:bCs w:val="0"/>
          <w:kern w:val="2"/>
          <w:sz w:val="32"/>
          <w:szCs w:val="32"/>
          <w:highlight w:val="none"/>
          <w:lang w:val="en" w:eastAsia="zh-CN" w:bidi="ar"/>
        </w:rPr>
        <w:t>xx</w:t>
      </w:r>
      <w:r>
        <w:rPr>
          <w:rFonts w:hint="eastAsia" w:ascii="仿宋_GB2312" w:eastAsia="仿宋_GB2312" w:cs="宋体"/>
          <w:b w:val="0"/>
          <w:bCs w:val="0"/>
          <w:kern w:val="2"/>
          <w:sz w:val="32"/>
          <w:szCs w:val="32"/>
          <w:highlight w:val="none"/>
          <w:lang w:val="en" w:eastAsia="zh-CN" w:bidi="ar"/>
        </w:rPr>
        <w:t>日</w:t>
      </w:r>
      <w:r>
        <w:rPr>
          <w:rFonts w:hint="eastAsia" w:ascii="仿宋_GB2312" w:hAnsi="宋体" w:eastAsia="仿宋_GB2312" w:cs="宋体"/>
          <w:b w:val="0"/>
          <w:bCs w:val="0"/>
          <w:kern w:val="2"/>
          <w:sz w:val="32"/>
          <w:szCs w:val="32"/>
          <w:highlight w:val="none"/>
          <w:lang w:eastAsia="zh-CN" w:bidi="ar"/>
        </w:rPr>
        <w:t>起施行</w:t>
      </w:r>
      <w:r>
        <w:rPr>
          <w:rFonts w:hint="eastAsia" w:ascii="仿宋_GB2312" w:eastAsia="仿宋_GB2312" w:cs="宋体"/>
          <w:b w:val="0"/>
          <w:bCs w:val="0"/>
          <w:kern w:val="2"/>
          <w:sz w:val="32"/>
          <w:szCs w:val="32"/>
          <w:highlight w:val="none"/>
          <w:lang w:eastAsia="zh-CN" w:bidi="ar"/>
        </w:rPr>
        <w:t>，</w:t>
      </w:r>
      <w:r>
        <w:rPr>
          <w:rFonts w:hint="eastAsia" w:ascii="仿宋_GB2312" w:eastAsia="仿宋_GB2312"/>
          <w:sz w:val="32"/>
          <w:szCs w:val="32"/>
          <w:highlight w:val="none"/>
          <w:lang w:val="en-US" w:eastAsia="zh-CN"/>
        </w:rPr>
        <w:t>《台州市人民政府办公室关于印发台州市椒灵江流域生态保护补偿方案（试行）的通知》（台政办函</w:t>
      </w:r>
      <w:r>
        <w:rPr>
          <w:rFonts w:hint="eastAsia" w:ascii="仿宋_GB2312" w:eastAsia="仿宋_GB2312"/>
          <w:sz w:val="32"/>
          <w:szCs w:val="32"/>
          <w:highlight w:val="none"/>
        </w:rPr>
        <w:t>〔20</w:t>
      </w:r>
      <w:r>
        <w:rPr>
          <w:rFonts w:hint="eastAsia" w:ascii="仿宋_GB2312" w:eastAsia="仿宋_GB2312"/>
          <w:sz w:val="32"/>
          <w:szCs w:val="32"/>
          <w:highlight w:val="none"/>
          <w:lang w:val="en-US" w:eastAsia="zh-CN"/>
        </w:rPr>
        <w:t>18</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73</w:t>
      </w:r>
      <w:r>
        <w:rPr>
          <w:rFonts w:hint="eastAsia" w:ascii="仿宋_GB2312" w:eastAsia="仿宋_GB2312"/>
          <w:sz w:val="32"/>
          <w:szCs w:val="32"/>
          <w:highlight w:val="none"/>
        </w:rPr>
        <w:t>号)</w:t>
      </w:r>
      <w:r>
        <w:rPr>
          <w:rFonts w:hint="eastAsia" w:ascii="仿宋_GB2312" w:eastAsia="仿宋_GB2312"/>
          <w:sz w:val="32"/>
          <w:szCs w:val="32"/>
          <w:highlight w:val="none"/>
          <w:lang w:eastAsia="zh-CN"/>
        </w:rPr>
        <w:t>同时废止。</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 w:name="楷体_GB2312">
    <w:panose1 w:val="02010609030101010101"/>
    <w:charset w:val="86"/>
    <w:family w:val="auto"/>
    <w:pitch w:val="default"/>
    <w:sig w:usb0="00000001" w:usb1="080E0000" w:usb2="00000000" w:usb3="00000000" w:csb0="00040000" w:csb1="00000000"/>
  </w:font>
  <w:font w:name="DejaVu Math TeX Gyre">
    <w:altName w:val="Mangal"/>
    <w:panose1 w:val="02000503000000000000"/>
    <w:charset w:val="00"/>
    <w:family w:val="auto"/>
    <w:pitch w:val="default"/>
    <w:sig w:usb0="00000000" w:usb1="00000000" w:usb2="02000000" w:usb3="00000000" w:csb0="60000193" w:csb1="0DD40000"/>
  </w:font>
  <w:font w:name="汉仪书宋二S">
    <w:altName w:val="宋体"/>
    <w:panose1 w:val="00020600040101010101"/>
    <w:charset w:val="86"/>
    <w:family w:val="auto"/>
    <w:pitch w:val="default"/>
    <w:sig w:usb0="00000000" w:usb1="00000000" w:usb2="00000016" w:usb3="00000000" w:csb0="00040000" w:csb1="00000000"/>
  </w:font>
  <w:font w:name="Mangal">
    <w:panose1 w:val="02040503050203030202"/>
    <w:charset w:val="00"/>
    <w:family w:val="auto"/>
    <w:pitch w:val="default"/>
    <w:sig w:usb0="00008003" w:usb1="00000000" w:usb2="00000000" w:usb3="00000000" w:csb0="00000001" w:csb1="00000000"/>
  </w:font>
  <w:font w:name="Cambria Math">
    <w:panose1 w:val="02040503050406030204"/>
    <w:charset w:val="00"/>
    <w:family w:val="auto"/>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7F4C3"/>
    <w:multiLevelType w:val="singleLevel"/>
    <w:tmpl w:val="E3B7F4C3"/>
    <w:lvl w:ilvl="0" w:tentative="0">
      <w:start w:val="6"/>
      <w:numFmt w:val="chineseCounting"/>
      <w:suff w:val="nothing"/>
      <w:lvlText w:val="（%1）"/>
      <w:lvlJc w:val="left"/>
      <w:rPr>
        <w:rFonts w:hint="eastAsia"/>
      </w:rPr>
    </w:lvl>
  </w:abstractNum>
  <w:abstractNum w:abstractNumId="1">
    <w:nsid w:val="F77FCB99"/>
    <w:multiLevelType w:val="singleLevel"/>
    <w:tmpl w:val="F77FCB99"/>
    <w:lvl w:ilvl="0" w:tentative="0">
      <w:start w:val="8"/>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5694B"/>
    <w:rsid w:val="04FF3F85"/>
    <w:rsid w:val="0679683E"/>
    <w:rsid w:val="0FFFBA21"/>
    <w:rsid w:val="10FD2C13"/>
    <w:rsid w:val="132F62B5"/>
    <w:rsid w:val="14D7FDF9"/>
    <w:rsid w:val="1546CA0C"/>
    <w:rsid w:val="17FFE209"/>
    <w:rsid w:val="1C7F5178"/>
    <w:rsid w:val="1DED442B"/>
    <w:rsid w:val="1EE02BAC"/>
    <w:rsid w:val="1FDD7CDE"/>
    <w:rsid w:val="1FFD0BE3"/>
    <w:rsid w:val="1FFF2499"/>
    <w:rsid w:val="27BF2D7B"/>
    <w:rsid w:val="2B7F8630"/>
    <w:rsid w:val="2BBFC10F"/>
    <w:rsid w:val="2CFF469A"/>
    <w:rsid w:val="2D7CEA06"/>
    <w:rsid w:val="2EF7F943"/>
    <w:rsid w:val="2F53C8B4"/>
    <w:rsid w:val="2FEFAD1C"/>
    <w:rsid w:val="2FFD3675"/>
    <w:rsid w:val="2FFDDA53"/>
    <w:rsid w:val="33868D6B"/>
    <w:rsid w:val="33FDCCFB"/>
    <w:rsid w:val="367E3090"/>
    <w:rsid w:val="37075251"/>
    <w:rsid w:val="3B9E69B6"/>
    <w:rsid w:val="3BDD5A65"/>
    <w:rsid w:val="3BEEAF23"/>
    <w:rsid w:val="3BFD2CC9"/>
    <w:rsid w:val="3ECBC2D1"/>
    <w:rsid w:val="3EFB402B"/>
    <w:rsid w:val="3F0769E1"/>
    <w:rsid w:val="3F6F0F6C"/>
    <w:rsid w:val="3FDAAB24"/>
    <w:rsid w:val="3FDED06F"/>
    <w:rsid w:val="3FE58FCF"/>
    <w:rsid w:val="3FF568FC"/>
    <w:rsid w:val="3FFEE851"/>
    <w:rsid w:val="3FFF9675"/>
    <w:rsid w:val="41A5694B"/>
    <w:rsid w:val="43E61301"/>
    <w:rsid w:val="46170DAF"/>
    <w:rsid w:val="47B73BA7"/>
    <w:rsid w:val="49A309A2"/>
    <w:rsid w:val="4A8E6560"/>
    <w:rsid w:val="4BDB62EB"/>
    <w:rsid w:val="4CB074DF"/>
    <w:rsid w:val="4E1E78BD"/>
    <w:rsid w:val="4FBEC55E"/>
    <w:rsid w:val="53FDA0EE"/>
    <w:rsid w:val="55F800CB"/>
    <w:rsid w:val="576E83ED"/>
    <w:rsid w:val="57FB1A6B"/>
    <w:rsid w:val="59B59FBB"/>
    <w:rsid w:val="59DC253B"/>
    <w:rsid w:val="5ADF69DD"/>
    <w:rsid w:val="5B7A3730"/>
    <w:rsid w:val="5BBE85F9"/>
    <w:rsid w:val="5BFE026A"/>
    <w:rsid w:val="5C5D6F2A"/>
    <w:rsid w:val="5D7C400D"/>
    <w:rsid w:val="5D7FA893"/>
    <w:rsid w:val="5DAF9D72"/>
    <w:rsid w:val="5DB704C1"/>
    <w:rsid w:val="5DBF6B9E"/>
    <w:rsid w:val="5DFB4347"/>
    <w:rsid w:val="5DFC5F37"/>
    <w:rsid w:val="5EF96683"/>
    <w:rsid w:val="5EFBA03E"/>
    <w:rsid w:val="5F6F83B7"/>
    <w:rsid w:val="5F77D7BF"/>
    <w:rsid w:val="5F7F4F9F"/>
    <w:rsid w:val="5FBB3F60"/>
    <w:rsid w:val="5FBC0996"/>
    <w:rsid w:val="5FD705C8"/>
    <w:rsid w:val="5FEA65DD"/>
    <w:rsid w:val="5FEED316"/>
    <w:rsid w:val="5FFBC0DA"/>
    <w:rsid w:val="5FFE4CBE"/>
    <w:rsid w:val="5FFEEC21"/>
    <w:rsid w:val="61FFEB15"/>
    <w:rsid w:val="62EFB5FE"/>
    <w:rsid w:val="69FD81FD"/>
    <w:rsid w:val="69FFB9F3"/>
    <w:rsid w:val="6A1F88A2"/>
    <w:rsid w:val="6B2788BC"/>
    <w:rsid w:val="6B621F16"/>
    <w:rsid w:val="6B7EF1DB"/>
    <w:rsid w:val="6BBDECE6"/>
    <w:rsid w:val="6BBFDC26"/>
    <w:rsid w:val="6BE11823"/>
    <w:rsid w:val="6CC7782E"/>
    <w:rsid w:val="6DFFF99D"/>
    <w:rsid w:val="6E7B3DA3"/>
    <w:rsid w:val="6E7BCAA0"/>
    <w:rsid w:val="6EB730B2"/>
    <w:rsid w:val="6EBECB14"/>
    <w:rsid w:val="6EEBB424"/>
    <w:rsid w:val="6EFF43A6"/>
    <w:rsid w:val="6F7A6B86"/>
    <w:rsid w:val="6F8DFA58"/>
    <w:rsid w:val="6FEBBCBA"/>
    <w:rsid w:val="6FFF37AE"/>
    <w:rsid w:val="6FFFD0CC"/>
    <w:rsid w:val="705F222E"/>
    <w:rsid w:val="731E1F2A"/>
    <w:rsid w:val="735710C9"/>
    <w:rsid w:val="739FCE62"/>
    <w:rsid w:val="73F66750"/>
    <w:rsid w:val="73F7D617"/>
    <w:rsid w:val="74EF4603"/>
    <w:rsid w:val="759CDEC1"/>
    <w:rsid w:val="75D70C39"/>
    <w:rsid w:val="75FEF243"/>
    <w:rsid w:val="75FFA1F8"/>
    <w:rsid w:val="77183143"/>
    <w:rsid w:val="777B05F7"/>
    <w:rsid w:val="779F4D2B"/>
    <w:rsid w:val="779FF672"/>
    <w:rsid w:val="77BF76A2"/>
    <w:rsid w:val="77BF908C"/>
    <w:rsid w:val="77D99C6A"/>
    <w:rsid w:val="77FF4481"/>
    <w:rsid w:val="77FFA76A"/>
    <w:rsid w:val="7895968B"/>
    <w:rsid w:val="789F4F2A"/>
    <w:rsid w:val="78AD5337"/>
    <w:rsid w:val="78FC5BCB"/>
    <w:rsid w:val="78FF9EE4"/>
    <w:rsid w:val="797ECFA3"/>
    <w:rsid w:val="797F64E8"/>
    <w:rsid w:val="7AAD4398"/>
    <w:rsid w:val="7AB97E0B"/>
    <w:rsid w:val="7AD21DAD"/>
    <w:rsid w:val="7AF3E0E9"/>
    <w:rsid w:val="7AFF6C20"/>
    <w:rsid w:val="7BBA4B78"/>
    <w:rsid w:val="7BE65998"/>
    <w:rsid w:val="7BE7F60F"/>
    <w:rsid w:val="7BF3D298"/>
    <w:rsid w:val="7C977343"/>
    <w:rsid w:val="7CD91BB3"/>
    <w:rsid w:val="7CFFA184"/>
    <w:rsid w:val="7DDED08E"/>
    <w:rsid w:val="7DDF969D"/>
    <w:rsid w:val="7DF509D4"/>
    <w:rsid w:val="7DF721E0"/>
    <w:rsid w:val="7DFAA930"/>
    <w:rsid w:val="7DFBBC82"/>
    <w:rsid w:val="7DFE8266"/>
    <w:rsid w:val="7DFF4E9C"/>
    <w:rsid w:val="7DFF91E6"/>
    <w:rsid w:val="7DFFDF8B"/>
    <w:rsid w:val="7E6F877F"/>
    <w:rsid w:val="7E7FA9B0"/>
    <w:rsid w:val="7ED552ED"/>
    <w:rsid w:val="7EE77272"/>
    <w:rsid w:val="7EF2BCCB"/>
    <w:rsid w:val="7EFFB6DE"/>
    <w:rsid w:val="7F1F3CD3"/>
    <w:rsid w:val="7F4A8626"/>
    <w:rsid w:val="7F67838C"/>
    <w:rsid w:val="7F692C5E"/>
    <w:rsid w:val="7F6BFA8A"/>
    <w:rsid w:val="7F76DE44"/>
    <w:rsid w:val="7F7DDD3A"/>
    <w:rsid w:val="7F9D4027"/>
    <w:rsid w:val="7FAFF10B"/>
    <w:rsid w:val="7FBE5B18"/>
    <w:rsid w:val="7FBE7A72"/>
    <w:rsid w:val="7FBE7DC7"/>
    <w:rsid w:val="7FBFE04C"/>
    <w:rsid w:val="7FDB6B00"/>
    <w:rsid w:val="7FDBAA8B"/>
    <w:rsid w:val="7FEBCDA5"/>
    <w:rsid w:val="7FEBEA14"/>
    <w:rsid w:val="7FED6732"/>
    <w:rsid w:val="7FEDAD28"/>
    <w:rsid w:val="7FF5F4F4"/>
    <w:rsid w:val="7FFA433C"/>
    <w:rsid w:val="7FFB2EA3"/>
    <w:rsid w:val="7FFB3517"/>
    <w:rsid w:val="7FFCFD0A"/>
    <w:rsid w:val="7FFD3127"/>
    <w:rsid w:val="7FFEE3DE"/>
    <w:rsid w:val="7FFFE970"/>
    <w:rsid w:val="7FFFFFE4"/>
    <w:rsid w:val="88AB9826"/>
    <w:rsid w:val="8F3EC146"/>
    <w:rsid w:val="96BD87F5"/>
    <w:rsid w:val="977CFD7A"/>
    <w:rsid w:val="9BEBFC73"/>
    <w:rsid w:val="9E7A7502"/>
    <w:rsid w:val="9F2A1DE6"/>
    <w:rsid w:val="9FBF8E4E"/>
    <w:rsid w:val="9FD7C475"/>
    <w:rsid w:val="9FDFAC05"/>
    <w:rsid w:val="9FDFDFD8"/>
    <w:rsid w:val="A77DFC91"/>
    <w:rsid w:val="ABFA68ED"/>
    <w:rsid w:val="AD575A26"/>
    <w:rsid w:val="AD6CC2C5"/>
    <w:rsid w:val="AD99A0C0"/>
    <w:rsid w:val="AE4F189C"/>
    <w:rsid w:val="AFD3C341"/>
    <w:rsid w:val="B7DFF3A5"/>
    <w:rsid w:val="B7F777AB"/>
    <w:rsid w:val="B7FC9E16"/>
    <w:rsid w:val="BAEDB85C"/>
    <w:rsid w:val="BB75EE2B"/>
    <w:rsid w:val="BB77DC10"/>
    <w:rsid w:val="BBB60EF0"/>
    <w:rsid w:val="BBFB0EBC"/>
    <w:rsid w:val="BBFFB386"/>
    <w:rsid w:val="BCBF3451"/>
    <w:rsid w:val="BCDEAF24"/>
    <w:rsid w:val="BCE6C245"/>
    <w:rsid w:val="BCFF3D66"/>
    <w:rsid w:val="BD9FB1C9"/>
    <w:rsid w:val="BDA36BCD"/>
    <w:rsid w:val="BDAA8B46"/>
    <w:rsid w:val="BDD9126B"/>
    <w:rsid w:val="BDDFE5B2"/>
    <w:rsid w:val="BDEA11DB"/>
    <w:rsid w:val="BDEBE1C4"/>
    <w:rsid w:val="BE375AFD"/>
    <w:rsid w:val="BEBE02F2"/>
    <w:rsid w:val="BEF55E1D"/>
    <w:rsid w:val="BF6E2617"/>
    <w:rsid w:val="BFBCDE8E"/>
    <w:rsid w:val="BFDD1CA3"/>
    <w:rsid w:val="BFFD4EC0"/>
    <w:rsid w:val="BFFF7797"/>
    <w:rsid w:val="C7AFFB53"/>
    <w:rsid w:val="CAAFD0A2"/>
    <w:rsid w:val="CBBF5CD6"/>
    <w:rsid w:val="CDBF7874"/>
    <w:rsid w:val="CEDCBDF4"/>
    <w:rsid w:val="CF7F2875"/>
    <w:rsid w:val="CFF68070"/>
    <w:rsid w:val="CFF783B5"/>
    <w:rsid w:val="D156F6D8"/>
    <w:rsid w:val="D2FCA5EC"/>
    <w:rsid w:val="D5D7FE31"/>
    <w:rsid w:val="D7DF572C"/>
    <w:rsid w:val="D83F5AE3"/>
    <w:rsid w:val="D9EAAB40"/>
    <w:rsid w:val="DABE7C61"/>
    <w:rsid w:val="DB7C8E0D"/>
    <w:rsid w:val="DBBF2D0C"/>
    <w:rsid w:val="DBF54AE4"/>
    <w:rsid w:val="DD2DC74F"/>
    <w:rsid w:val="DD7F2A52"/>
    <w:rsid w:val="DDD569DD"/>
    <w:rsid w:val="DDED8BDF"/>
    <w:rsid w:val="DDFFC33F"/>
    <w:rsid w:val="DEBB2012"/>
    <w:rsid w:val="DF3F0C8C"/>
    <w:rsid w:val="DF5AF7D8"/>
    <w:rsid w:val="DF650E70"/>
    <w:rsid w:val="DF670E04"/>
    <w:rsid w:val="DF77C151"/>
    <w:rsid w:val="DF7E88AB"/>
    <w:rsid w:val="DFAB9D7A"/>
    <w:rsid w:val="DFBB4766"/>
    <w:rsid w:val="DFBD00CB"/>
    <w:rsid w:val="DFE971E1"/>
    <w:rsid w:val="E1BF3C2B"/>
    <w:rsid w:val="E3DD2F00"/>
    <w:rsid w:val="E4FC2CDE"/>
    <w:rsid w:val="E5E799CD"/>
    <w:rsid w:val="E65E0ECF"/>
    <w:rsid w:val="E7FF7DC3"/>
    <w:rsid w:val="E97FFA5A"/>
    <w:rsid w:val="E9EFE6A9"/>
    <w:rsid w:val="EAEFA55F"/>
    <w:rsid w:val="EB7E30A1"/>
    <w:rsid w:val="EBD81FD2"/>
    <w:rsid w:val="ED77627A"/>
    <w:rsid w:val="EDD585C2"/>
    <w:rsid w:val="EF16CD21"/>
    <w:rsid w:val="EF5FCAE8"/>
    <w:rsid w:val="EF7B4E4E"/>
    <w:rsid w:val="EF7E3730"/>
    <w:rsid w:val="EFE2FA20"/>
    <w:rsid w:val="EFED6D21"/>
    <w:rsid w:val="EFEF6051"/>
    <w:rsid w:val="EFFC3B0D"/>
    <w:rsid w:val="F1FF3900"/>
    <w:rsid w:val="F2DFB41D"/>
    <w:rsid w:val="F3BD24EB"/>
    <w:rsid w:val="F3C7AE6C"/>
    <w:rsid w:val="F3D2D9A4"/>
    <w:rsid w:val="F3F3AA89"/>
    <w:rsid w:val="F3F9D28A"/>
    <w:rsid w:val="F6DA1D66"/>
    <w:rsid w:val="F7174FF2"/>
    <w:rsid w:val="F797586D"/>
    <w:rsid w:val="F79F5F8A"/>
    <w:rsid w:val="F7AB7096"/>
    <w:rsid w:val="F7D31A41"/>
    <w:rsid w:val="F7DFA260"/>
    <w:rsid w:val="F7F4AAA7"/>
    <w:rsid w:val="F7FABF3D"/>
    <w:rsid w:val="F7FB12CF"/>
    <w:rsid w:val="F7FFD5BB"/>
    <w:rsid w:val="F9A7A1BE"/>
    <w:rsid w:val="F9E9FC31"/>
    <w:rsid w:val="FAF794EA"/>
    <w:rsid w:val="FB2EEFA9"/>
    <w:rsid w:val="FB74553F"/>
    <w:rsid w:val="FB770097"/>
    <w:rsid w:val="FB7E32BA"/>
    <w:rsid w:val="FBDD2030"/>
    <w:rsid w:val="FBF63B6A"/>
    <w:rsid w:val="FBF73E04"/>
    <w:rsid w:val="FCB5DBF5"/>
    <w:rsid w:val="FD466831"/>
    <w:rsid w:val="FD7FEE08"/>
    <w:rsid w:val="FDB58113"/>
    <w:rsid w:val="FDBC841A"/>
    <w:rsid w:val="FDED9FD0"/>
    <w:rsid w:val="FDEF805C"/>
    <w:rsid w:val="FE2F527B"/>
    <w:rsid w:val="FE55CE0F"/>
    <w:rsid w:val="FEDF3EDA"/>
    <w:rsid w:val="FEDF9795"/>
    <w:rsid w:val="FEEFBDE3"/>
    <w:rsid w:val="FEF4A546"/>
    <w:rsid w:val="FEFCAA96"/>
    <w:rsid w:val="FEFF89DB"/>
    <w:rsid w:val="FF3F62C8"/>
    <w:rsid w:val="FF3F8244"/>
    <w:rsid w:val="FF510F20"/>
    <w:rsid w:val="FF5F5163"/>
    <w:rsid w:val="FF5FDAD1"/>
    <w:rsid w:val="FF66F72D"/>
    <w:rsid w:val="FF6B3981"/>
    <w:rsid w:val="FF6F0568"/>
    <w:rsid w:val="FF95E5EE"/>
    <w:rsid w:val="FFBFBF13"/>
    <w:rsid w:val="FFCF0CC2"/>
    <w:rsid w:val="FFEBF2C3"/>
    <w:rsid w:val="FFF73972"/>
    <w:rsid w:val="FFFC6D46"/>
    <w:rsid w:val="FFFE6CC9"/>
    <w:rsid w:val="FFFEAA7C"/>
    <w:rsid w:val="FFFF5EEF"/>
    <w:rsid w:val="FFFF996D"/>
    <w:rsid w:val="FFFFF4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cs="宋体" w:eastAsiaTheme="minorEastAsia"/>
      <w:kern w:val="2"/>
      <w:sz w:val="24"/>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paragraph" w:customStyle="1" w:styleId="7">
    <w:name w:val="MTDisplayEquation"/>
    <w:basedOn w:val="1"/>
    <w:next w:val="1"/>
    <w:qFormat/>
    <w:uiPriority w:val="0"/>
    <w:pPr>
      <w:tabs>
        <w:tab w:val="center" w:pos="4160"/>
        <w:tab w:val="right" w:pos="8300"/>
      </w:tabs>
    </w:pPr>
    <w:rPr>
      <w:rFonts w:ascii="Calibri" w:hAnsi="Calibri" w:cs="Times New Roman"/>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2018-12-01T06:56:00Z</dcterms:created>
  <dc:creator>user2</dc:creator>
  <cp:lastModifiedBy>木眉</cp:lastModifiedBy>
  <cp:lastPrinted>2022-10-10T06:35:00Z</cp:lastPrinted>
  <dcterms:modified xsi:type="dcterms:W3CDTF">2022-10-10T07:36:25Z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