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20" w:line="622" w:lineRule="exact"/>
        <w:ind w:right="3295"/>
        <w:jc w:val="center"/>
        <w:rPr>
          <w:rFonts w:hint="eastAsia" w:ascii="方正小标宋简体" w:eastAsia="方正小标宋简体"/>
          <w:sz w:val="36"/>
        </w:rPr>
      </w:pPr>
      <w:bookmarkStart w:id="0" w:name="昆明市政府采购负面清单-终版"/>
      <w:bookmarkEnd w:id="0"/>
      <w:r>
        <w:rPr>
          <w:rFonts w:hint="eastAsia" w:ascii="方正小标宋简体" w:eastAsia="方正小标宋简体"/>
          <w:sz w:val="36"/>
          <w:lang w:val="en-US" w:eastAsia="zh-CN"/>
        </w:rPr>
        <w:t xml:space="preserve">                </w:t>
      </w:r>
      <w:r>
        <w:rPr>
          <w:rFonts w:hint="eastAsia" w:ascii="方正小标宋简体" w:eastAsia="方正小标宋简体"/>
          <w:sz w:val="36"/>
          <w:lang w:eastAsia="zh-CN"/>
        </w:rPr>
        <w:t>台州市</w:t>
      </w:r>
      <w:r>
        <w:rPr>
          <w:rFonts w:hint="eastAsia" w:ascii="方正小标宋简体" w:eastAsia="方正小标宋简体"/>
          <w:sz w:val="36"/>
        </w:rPr>
        <w:t>政府采购负面清单</w:t>
      </w:r>
    </w:p>
    <w:tbl>
      <w:tblPr>
        <w:tblStyle w:val="5"/>
        <w:tblW w:w="10316"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456"/>
        <w:gridCol w:w="1920"/>
        <w:gridCol w:w="4253"/>
        <w:gridCol w:w="36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623" w:hRule="atLeast"/>
        </w:trPr>
        <w:tc>
          <w:tcPr>
            <w:tcW w:w="10316" w:type="dxa"/>
            <w:gridSpan w:val="4"/>
            <w:shd w:val="clear" w:color="auto" w:fill="auto"/>
          </w:tcPr>
          <w:p>
            <w:pPr>
              <w:pStyle w:val="9"/>
              <w:tabs>
                <w:tab w:val="left" w:pos="947"/>
              </w:tabs>
              <w:spacing w:before="132"/>
              <w:ind w:left="107"/>
              <w:rPr>
                <w:rFonts w:hint="eastAsia" w:ascii="黑体" w:hAnsi="黑体" w:eastAsia="黑体"/>
                <w:sz w:val="28"/>
              </w:rPr>
            </w:pPr>
            <w:r>
              <w:rPr>
                <w:rFonts w:hint="eastAsia" w:ascii="黑体" w:hAnsi="黑体" w:eastAsia="黑体"/>
                <w:sz w:val="28"/>
              </w:rPr>
              <w:t>(一)</w:t>
            </w:r>
            <w:r>
              <w:rPr>
                <w:rFonts w:hint="eastAsia" w:ascii="黑体" w:hAnsi="黑体" w:eastAsia="黑体"/>
                <w:sz w:val="28"/>
              </w:rPr>
              <w:tab/>
            </w:r>
            <w:r>
              <w:rPr>
                <w:rFonts w:hint="eastAsia" w:ascii="黑体" w:hAnsi="黑体" w:eastAsia="黑体"/>
                <w:sz w:val="28"/>
              </w:rPr>
              <w:t>资格条</w:t>
            </w:r>
            <w:r>
              <w:rPr>
                <w:rFonts w:hint="eastAsia" w:ascii="黑体" w:hAnsi="黑体" w:eastAsia="黑体"/>
                <w:spacing w:val="-3"/>
                <w:sz w:val="28"/>
              </w:rPr>
              <w:t>件</w:t>
            </w:r>
            <w:r>
              <w:rPr>
                <w:rFonts w:hint="eastAsia" w:ascii="黑体" w:hAnsi="黑体" w:eastAsia="黑体"/>
                <w:sz w:val="28"/>
              </w:rPr>
              <w:t>——适用</w:t>
            </w:r>
            <w:r>
              <w:rPr>
                <w:rFonts w:hint="eastAsia" w:ascii="黑体" w:hAnsi="黑体" w:eastAsia="黑体"/>
                <w:spacing w:val="-3"/>
                <w:sz w:val="28"/>
              </w:rPr>
              <w:t>主</w:t>
            </w:r>
            <w:r>
              <w:rPr>
                <w:rFonts w:hint="eastAsia" w:ascii="黑体" w:hAnsi="黑体" w:eastAsia="黑体"/>
                <w:sz w:val="28"/>
              </w:rPr>
              <w:t>体：</w:t>
            </w:r>
            <w:r>
              <w:rPr>
                <w:rFonts w:hint="eastAsia" w:ascii="黑体" w:hAnsi="黑体" w:eastAsia="黑体"/>
                <w:spacing w:val="-3"/>
                <w:sz w:val="28"/>
              </w:rPr>
              <w:t>采购</w:t>
            </w:r>
            <w:r>
              <w:rPr>
                <w:rFonts w:hint="eastAsia" w:ascii="黑体" w:hAnsi="黑体" w:eastAsia="黑体"/>
                <w:sz w:val="28"/>
              </w:rPr>
              <w:t>人和采</w:t>
            </w:r>
            <w:r>
              <w:rPr>
                <w:rFonts w:hint="eastAsia" w:ascii="黑体" w:hAnsi="黑体" w:eastAsia="黑体"/>
                <w:spacing w:val="-3"/>
                <w:sz w:val="28"/>
              </w:rPr>
              <w:t>购</w:t>
            </w:r>
            <w:r>
              <w:rPr>
                <w:rFonts w:hint="eastAsia" w:ascii="黑体" w:hAnsi="黑体" w:eastAsia="黑体"/>
                <w:sz w:val="28"/>
              </w:rPr>
              <w:t>代理</w:t>
            </w:r>
            <w:r>
              <w:rPr>
                <w:rFonts w:hint="eastAsia" w:ascii="黑体" w:hAnsi="黑体" w:eastAsia="黑体"/>
                <w:spacing w:val="-3"/>
                <w:sz w:val="28"/>
              </w:rPr>
              <w:t>机</w:t>
            </w:r>
            <w:r>
              <w:rPr>
                <w:rFonts w:hint="eastAsia" w:ascii="黑体" w:hAnsi="黑体" w:eastAsia="黑体"/>
                <w:sz w:val="28"/>
              </w:rPr>
              <w:t>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625" w:hRule="atLeast"/>
        </w:trPr>
        <w:tc>
          <w:tcPr>
            <w:tcW w:w="456" w:type="dxa"/>
            <w:tcBorders>
              <w:bottom w:val="single" w:color="000000" w:sz="4" w:space="0"/>
            </w:tcBorders>
            <w:shd w:val="clear" w:color="auto" w:fill="auto"/>
          </w:tcPr>
          <w:p>
            <w:pPr>
              <w:pStyle w:val="9"/>
              <w:spacing w:before="2"/>
              <w:ind w:left="107"/>
              <w:rPr>
                <w:rFonts w:hint="eastAsia" w:ascii="黑体" w:eastAsia="黑体"/>
                <w:sz w:val="24"/>
              </w:rPr>
            </w:pPr>
            <w:r>
              <w:rPr>
                <w:rFonts w:hint="eastAsia" w:ascii="黑体" w:eastAsia="黑体"/>
                <w:sz w:val="24"/>
              </w:rPr>
              <w:t>序</w:t>
            </w:r>
          </w:p>
          <w:p>
            <w:pPr>
              <w:pStyle w:val="9"/>
              <w:spacing w:before="4" w:line="292" w:lineRule="exact"/>
              <w:ind w:left="107"/>
              <w:rPr>
                <w:rFonts w:hint="eastAsia" w:ascii="黑体" w:eastAsia="黑体"/>
                <w:sz w:val="24"/>
              </w:rPr>
            </w:pPr>
            <w:r>
              <w:rPr>
                <w:rFonts w:hint="eastAsia" w:ascii="黑体" w:eastAsia="黑体"/>
                <w:sz w:val="24"/>
              </w:rPr>
              <w:t>号</w:t>
            </w:r>
          </w:p>
        </w:tc>
        <w:tc>
          <w:tcPr>
            <w:tcW w:w="1920" w:type="dxa"/>
            <w:tcBorders>
              <w:bottom w:val="single" w:color="000000" w:sz="4" w:space="0"/>
            </w:tcBorders>
            <w:shd w:val="clear" w:color="auto" w:fill="auto"/>
          </w:tcPr>
          <w:p>
            <w:pPr>
              <w:pStyle w:val="9"/>
              <w:spacing w:before="158"/>
              <w:ind w:left="482"/>
              <w:rPr>
                <w:rFonts w:hint="eastAsia" w:ascii="黑体" w:eastAsia="黑体"/>
                <w:sz w:val="24"/>
              </w:rPr>
            </w:pPr>
            <w:r>
              <w:rPr>
                <w:rFonts w:hint="eastAsia" w:ascii="黑体" w:eastAsia="黑体"/>
                <w:sz w:val="24"/>
              </w:rPr>
              <w:t>禁止事项</w:t>
            </w:r>
          </w:p>
        </w:tc>
        <w:tc>
          <w:tcPr>
            <w:tcW w:w="4253" w:type="dxa"/>
            <w:tcBorders>
              <w:bottom w:val="single" w:color="000000" w:sz="4" w:space="0"/>
            </w:tcBorders>
            <w:shd w:val="clear" w:color="auto" w:fill="auto"/>
          </w:tcPr>
          <w:p>
            <w:pPr>
              <w:pStyle w:val="9"/>
              <w:spacing w:before="158"/>
              <w:ind w:left="1626" w:right="1607"/>
              <w:jc w:val="center"/>
              <w:rPr>
                <w:rFonts w:hint="eastAsia" w:ascii="黑体" w:eastAsia="黑体"/>
                <w:sz w:val="24"/>
              </w:rPr>
            </w:pPr>
            <w:r>
              <w:rPr>
                <w:rFonts w:hint="eastAsia" w:ascii="黑体" w:eastAsia="黑体"/>
                <w:sz w:val="24"/>
              </w:rPr>
              <w:t>具体内容</w:t>
            </w:r>
          </w:p>
        </w:tc>
        <w:tc>
          <w:tcPr>
            <w:tcW w:w="3687" w:type="dxa"/>
            <w:tcBorders>
              <w:bottom w:val="single" w:color="000000" w:sz="4" w:space="0"/>
            </w:tcBorders>
            <w:shd w:val="clear" w:color="auto" w:fill="auto"/>
          </w:tcPr>
          <w:p>
            <w:pPr>
              <w:pStyle w:val="9"/>
              <w:spacing w:before="158"/>
              <w:ind w:left="405"/>
              <w:rPr>
                <w:rFonts w:hint="eastAsia" w:ascii="黑体" w:eastAsia="黑体"/>
                <w:sz w:val="24"/>
              </w:rPr>
            </w:pPr>
            <w:r>
              <w:rPr>
                <w:rFonts w:hint="eastAsia" w:ascii="黑体" w:eastAsia="黑体"/>
                <w:sz w:val="24"/>
              </w:rPr>
              <w:t>法律、法规、政策文件依据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478"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13"/>
              </w:rPr>
            </w:pPr>
          </w:p>
          <w:p>
            <w:pPr>
              <w:pStyle w:val="9"/>
              <w:ind w:right="91"/>
              <w:jc w:val="right"/>
              <w:rPr>
                <w:sz w:val="24"/>
              </w:rPr>
            </w:pPr>
            <w:r>
              <w:rPr>
                <w:sz w:val="24"/>
              </w:rPr>
              <w:t>1</w:t>
            </w:r>
          </w:p>
        </w:tc>
        <w:tc>
          <w:tcPr>
            <w:tcW w:w="192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before="11"/>
              <w:rPr>
                <w:rFonts w:ascii="方正小标宋简体"/>
                <w:sz w:val="34"/>
              </w:rPr>
            </w:pPr>
          </w:p>
          <w:p>
            <w:pPr>
              <w:pStyle w:val="9"/>
              <w:spacing w:line="242" w:lineRule="auto"/>
              <w:ind w:left="115" w:right="114"/>
              <w:jc w:val="both"/>
              <w:rPr>
                <w:sz w:val="24"/>
              </w:rPr>
            </w:pPr>
            <w:r>
              <w:rPr>
                <w:sz w:val="24"/>
              </w:rPr>
              <w:t>非法限定供应商的所有制形式、组织形式或者所在地</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before="14"/>
              <w:rPr>
                <w:rFonts w:ascii="方正小标宋简体"/>
                <w:sz w:val="25"/>
              </w:rPr>
            </w:pPr>
          </w:p>
          <w:p>
            <w:pPr>
              <w:pStyle w:val="9"/>
              <w:spacing w:before="1" w:line="242" w:lineRule="auto"/>
              <w:ind w:left="112" w:right="48"/>
              <w:rPr>
                <w:sz w:val="24"/>
              </w:rPr>
            </w:pPr>
            <w:r>
              <w:rPr>
                <w:sz w:val="24"/>
              </w:rPr>
              <w:t xml:space="preserve">1.限定供应商所有制形式或者股权结 </w:t>
            </w:r>
            <w:r>
              <w:rPr>
                <w:spacing w:val="-1"/>
                <w:sz w:val="24"/>
              </w:rPr>
              <w:t xml:space="preserve">构，如：国有、民营、独资、合资等； </w:t>
            </w:r>
            <w:r>
              <w:rPr>
                <w:sz w:val="24"/>
              </w:rPr>
              <w:t>2.</w:t>
            </w:r>
            <w:r>
              <w:rPr>
                <w:spacing w:val="-6"/>
                <w:sz w:val="24"/>
              </w:rPr>
              <w:t>限定企业法人，将事业法人、其他组织和自然人排除；</w:t>
            </w:r>
          </w:p>
          <w:p>
            <w:pPr>
              <w:pStyle w:val="9"/>
              <w:spacing w:before="5"/>
              <w:ind w:left="112"/>
              <w:rPr>
                <w:sz w:val="24"/>
              </w:rPr>
            </w:pPr>
            <w:r>
              <w:rPr>
                <w:sz w:val="24"/>
              </w:rPr>
              <w:t>3.限定注册地(总部)在某行政区域内。</w:t>
            </w:r>
          </w:p>
        </w:tc>
        <w:tc>
          <w:tcPr>
            <w:tcW w:w="3687" w:type="dxa"/>
            <w:tcBorders>
              <w:top w:val="single" w:color="000000" w:sz="4" w:space="0"/>
              <w:left w:val="single" w:color="000000" w:sz="4" w:space="0"/>
              <w:bottom w:val="single" w:color="000000" w:sz="4" w:space="0"/>
              <w:right w:val="single" w:color="000000" w:sz="4" w:space="0"/>
            </w:tcBorders>
            <w:shd w:val="clear" w:color="auto" w:fill="auto"/>
          </w:tcPr>
          <w:p>
            <w:pPr>
              <w:pStyle w:val="9"/>
              <w:rPr>
                <w:rFonts w:ascii="方正小标宋简体"/>
                <w:sz w:val="17"/>
              </w:rPr>
            </w:pPr>
          </w:p>
          <w:p>
            <w:pPr>
              <w:pStyle w:val="9"/>
              <w:spacing w:line="242" w:lineRule="auto"/>
              <w:ind w:left="114" w:right="200"/>
              <w:jc w:val="both"/>
              <w:rPr>
                <w:sz w:val="24"/>
              </w:rPr>
            </w:pPr>
            <w:r>
              <w:rPr>
                <w:sz w:val="24"/>
              </w:rPr>
              <w:t>《中华人民共和国政府采购法》第五条、第二十二条；《中华人民共和国政府采购法实施条例》第二十条；《关于促进政府采购公平竞争优化营商环境的通知》(财库〔2019〕38 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116"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tcPr>
          <w:p>
            <w:pPr>
              <w:pStyle w:val="9"/>
              <w:rPr>
                <w:rFonts w:ascii="方正小标宋简体"/>
                <w:sz w:val="24"/>
              </w:rPr>
            </w:pPr>
          </w:p>
          <w:p>
            <w:pPr>
              <w:pStyle w:val="9"/>
              <w:spacing w:before="15"/>
              <w:rPr>
                <w:rFonts w:ascii="方正小标宋简体"/>
                <w:sz w:val="26"/>
              </w:rPr>
            </w:pPr>
          </w:p>
          <w:p>
            <w:pPr>
              <w:pStyle w:val="9"/>
              <w:ind w:right="91"/>
              <w:jc w:val="right"/>
              <w:rPr>
                <w:sz w:val="24"/>
              </w:rPr>
            </w:pPr>
            <w:r>
              <w:rPr>
                <w:sz w:val="24"/>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before="4"/>
              <w:rPr>
                <w:rFonts w:ascii="方正小标宋简体"/>
                <w:sz w:val="33"/>
              </w:rPr>
            </w:pPr>
          </w:p>
          <w:p>
            <w:pPr>
              <w:pStyle w:val="9"/>
              <w:spacing w:before="1" w:line="242" w:lineRule="auto"/>
              <w:ind w:left="115" w:right="114"/>
              <w:jc w:val="both"/>
              <w:rPr>
                <w:sz w:val="24"/>
              </w:rPr>
            </w:pPr>
            <w:r>
              <w:rPr>
                <w:sz w:val="24"/>
              </w:rPr>
              <w:t>将供应商规模条件设置为资格条件</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before="4"/>
              <w:rPr>
                <w:rFonts w:ascii="方正小标宋简体"/>
                <w:sz w:val="33"/>
              </w:rPr>
            </w:pPr>
          </w:p>
          <w:p>
            <w:pPr>
              <w:pStyle w:val="9"/>
              <w:spacing w:before="1" w:line="242" w:lineRule="auto"/>
              <w:ind w:left="112" w:right="91"/>
              <w:jc w:val="both"/>
              <w:rPr>
                <w:sz w:val="24"/>
              </w:rPr>
            </w:pPr>
            <w:r>
              <w:rPr>
                <w:spacing w:val="-6"/>
                <w:sz w:val="24"/>
              </w:rPr>
              <w:t>将供应商的注册资本、资产总额、营业</w:t>
            </w:r>
            <w:r>
              <w:rPr>
                <w:spacing w:val="-8"/>
                <w:sz w:val="24"/>
              </w:rPr>
              <w:t>收入、从业人员、利润、纳税额等规模</w:t>
            </w:r>
            <w:r>
              <w:rPr>
                <w:sz w:val="24"/>
              </w:rPr>
              <w:t>条件作为资格要求；</w:t>
            </w:r>
          </w:p>
        </w:tc>
        <w:tc>
          <w:tcPr>
            <w:tcW w:w="3687"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before="122" w:line="242" w:lineRule="auto"/>
              <w:ind w:left="114" w:right="200"/>
              <w:jc w:val="both"/>
              <w:rPr>
                <w:sz w:val="24"/>
              </w:rPr>
            </w:pPr>
            <w:r>
              <w:rPr>
                <w:sz w:val="24"/>
              </w:rPr>
              <w:t>《中华人民共和国政府采购法》第九条；《政府采购货物和服务招标投标管理办法》第十七条；</w:t>
            </w:r>
          </w:p>
          <w:p>
            <w:pPr>
              <w:pStyle w:val="9"/>
              <w:spacing w:before="4" w:line="242" w:lineRule="auto"/>
              <w:ind w:left="114" w:right="200"/>
              <w:jc w:val="both"/>
              <w:rPr>
                <w:sz w:val="24"/>
              </w:rPr>
            </w:pPr>
            <w:r>
              <w:rPr>
                <w:sz w:val="24"/>
              </w:rPr>
              <w:t>《政府采购促进中小企业发展暂行办法》(财库〔2011〕181 号) 第三条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624"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tcPr>
          <w:p>
            <w:pPr>
              <w:pStyle w:val="9"/>
              <w:rPr>
                <w:rFonts w:ascii="方正小标宋简体"/>
                <w:sz w:val="24"/>
              </w:rPr>
            </w:pPr>
          </w:p>
          <w:p>
            <w:pPr>
              <w:pStyle w:val="9"/>
              <w:spacing w:before="16"/>
              <w:rPr>
                <w:rFonts w:ascii="方正小标宋简体"/>
                <w:sz w:val="12"/>
              </w:rPr>
            </w:pPr>
          </w:p>
          <w:p>
            <w:pPr>
              <w:pStyle w:val="9"/>
              <w:ind w:right="91"/>
              <w:jc w:val="right"/>
              <w:rPr>
                <w:sz w:val="24"/>
              </w:rPr>
            </w:pPr>
            <w:r>
              <w:rPr>
                <w:sz w:val="24"/>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before="6"/>
              <w:rPr>
                <w:rFonts w:ascii="方正小标宋简体"/>
                <w:sz w:val="19"/>
              </w:rPr>
            </w:pPr>
          </w:p>
          <w:p>
            <w:pPr>
              <w:pStyle w:val="9"/>
              <w:spacing w:line="242" w:lineRule="auto"/>
              <w:ind w:left="115" w:right="114"/>
              <w:jc w:val="both"/>
              <w:rPr>
                <w:sz w:val="24"/>
              </w:rPr>
            </w:pPr>
            <w:r>
              <w:rPr>
                <w:sz w:val="24"/>
              </w:rPr>
              <w:t>限定特定行政区域或者特定行业的业绩、奖项</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numPr>
                <w:ilvl w:val="0"/>
                <w:numId w:val="1"/>
              </w:numPr>
              <w:tabs>
                <w:tab w:val="left" w:pos="354"/>
              </w:tabs>
              <w:spacing w:before="187" w:after="0" w:line="242" w:lineRule="auto"/>
              <w:ind w:left="112" w:right="288" w:firstLine="0"/>
              <w:jc w:val="left"/>
              <w:rPr>
                <w:sz w:val="24"/>
              </w:rPr>
            </w:pPr>
            <w:r>
              <w:rPr>
                <w:spacing w:val="-2"/>
                <w:sz w:val="24"/>
              </w:rPr>
              <w:t>限定某行政区域内或者特定行业的</w:t>
            </w:r>
            <w:r>
              <w:rPr>
                <w:sz w:val="24"/>
              </w:rPr>
              <w:t>业绩、奖项作为资格条件；</w:t>
            </w:r>
          </w:p>
          <w:p>
            <w:pPr>
              <w:pStyle w:val="9"/>
              <w:numPr>
                <w:ilvl w:val="0"/>
                <w:numId w:val="1"/>
              </w:numPr>
              <w:tabs>
                <w:tab w:val="left" w:pos="354"/>
              </w:tabs>
              <w:spacing w:before="3" w:after="0" w:line="242" w:lineRule="auto"/>
              <w:ind w:left="112" w:right="91" w:firstLine="0"/>
              <w:jc w:val="left"/>
              <w:rPr>
                <w:sz w:val="24"/>
              </w:rPr>
            </w:pPr>
            <w:r>
              <w:rPr>
                <w:spacing w:val="-6"/>
                <w:sz w:val="24"/>
              </w:rPr>
              <w:t>设定特定金额业绩的，构成对中小企</w:t>
            </w:r>
            <w:r>
              <w:rPr>
                <w:sz w:val="24"/>
              </w:rPr>
              <w:t>业实行差别待遇或者歧视待遇。</w:t>
            </w:r>
          </w:p>
        </w:tc>
        <w:tc>
          <w:tcPr>
            <w:tcW w:w="3687"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before="6"/>
              <w:rPr>
                <w:rFonts w:ascii="方正小标宋简体"/>
                <w:sz w:val="19"/>
              </w:rPr>
            </w:pPr>
          </w:p>
          <w:p>
            <w:pPr>
              <w:pStyle w:val="9"/>
              <w:spacing w:line="242" w:lineRule="auto"/>
              <w:ind w:left="114" w:right="200"/>
              <w:jc w:val="both"/>
              <w:rPr>
                <w:sz w:val="24"/>
              </w:rPr>
            </w:pPr>
            <w:r>
              <w:rPr>
                <w:sz w:val="24"/>
              </w:rPr>
              <w:t>《中华人民共和国政府采购法》第二十二条；《中华人民共和国政府采购法实施条例》第二十条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96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tcPr>
          <w:p>
            <w:pPr>
              <w:pStyle w:val="9"/>
              <w:rPr>
                <w:rFonts w:ascii="方正小标宋简体"/>
                <w:sz w:val="24"/>
              </w:rPr>
            </w:pPr>
          </w:p>
          <w:p>
            <w:pPr>
              <w:pStyle w:val="9"/>
              <w:spacing w:before="9"/>
              <w:rPr>
                <w:rFonts w:ascii="方正小标宋简体"/>
                <w:sz w:val="22"/>
              </w:rPr>
            </w:pPr>
          </w:p>
          <w:p>
            <w:pPr>
              <w:pStyle w:val="9"/>
              <w:ind w:right="91"/>
              <w:jc w:val="right"/>
              <w:rPr>
                <w:sz w:val="24"/>
              </w:rPr>
            </w:pPr>
            <w:r>
              <w:rPr>
                <w:sz w:val="24"/>
              </w:rPr>
              <w:t>4</w:t>
            </w:r>
          </w:p>
        </w:tc>
        <w:tc>
          <w:tcPr>
            <w:tcW w:w="1920"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before="201" w:line="242" w:lineRule="auto"/>
              <w:ind w:left="115" w:right="114"/>
              <w:jc w:val="both"/>
              <w:rPr>
                <w:sz w:val="24"/>
              </w:rPr>
            </w:pPr>
            <w:r>
              <w:rPr>
                <w:sz w:val="24"/>
              </w:rPr>
              <w:t>设定与采购项目的具体特点和实际需要不相适应或与合同履行无关的资格条件</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rPr>
                <w:rFonts w:ascii="方正小标宋简体"/>
                <w:sz w:val="24"/>
              </w:rPr>
            </w:pPr>
          </w:p>
          <w:p>
            <w:pPr>
              <w:pStyle w:val="9"/>
              <w:spacing w:before="13"/>
              <w:rPr>
                <w:rFonts w:ascii="方正小标宋简体"/>
                <w:sz w:val="13"/>
              </w:rPr>
            </w:pPr>
          </w:p>
          <w:p>
            <w:pPr>
              <w:pStyle w:val="9"/>
              <w:spacing w:line="242" w:lineRule="auto"/>
              <w:ind w:left="112" w:right="288"/>
              <w:rPr>
                <w:sz w:val="24"/>
              </w:rPr>
            </w:pPr>
            <w:r>
              <w:rPr>
                <w:sz w:val="24"/>
              </w:rPr>
              <w:t>设置的资格条件与项目履行无关或过高、明显不合理；</w:t>
            </w:r>
          </w:p>
        </w:tc>
        <w:tc>
          <w:tcPr>
            <w:tcW w:w="3687" w:type="dxa"/>
            <w:tcBorders>
              <w:top w:val="single" w:color="000000" w:sz="4" w:space="0"/>
              <w:left w:val="single" w:color="000000" w:sz="4" w:space="0"/>
              <w:bottom w:val="single" w:color="000000" w:sz="4" w:space="0"/>
              <w:right w:val="single" w:color="000000" w:sz="4" w:space="0"/>
            </w:tcBorders>
            <w:shd w:val="clear" w:color="auto" w:fill="auto"/>
          </w:tcPr>
          <w:p>
            <w:pPr>
              <w:pStyle w:val="9"/>
              <w:spacing w:before="16"/>
              <w:rPr>
                <w:rFonts w:ascii="方正小标宋简体"/>
                <w:sz w:val="28"/>
              </w:rPr>
            </w:pPr>
          </w:p>
          <w:p>
            <w:pPr>
              <w:pStyle w:val="9"/>
              <w:spacing w:before="1" w:line="242" w:lineRule="auto"/>
              <w:ind w:left="114" w:right="200"/>
              <w:jc w:val="both"/>
              <w:rPr>
                <w:sz w:val="24"/>
              </w:rPr>
            </w:pPr>
            <w:r>
              <w:rPr>
                <w:sz w:val="24"/>
              </w:rPr>
              <w:t>《中华人民共和国政府采购法》第二十二条；《中华人民共和国政府采购法实施条例》第二十条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68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2"/>
              <w:rPr>
                <w:rFonts w:ascii="方正小标宋简体"/>
                <w:sz w:val="23"/>
              </w:rPr>
            </w:pPr>
          </w:p>
          <w:p>
            <w:pPr>
              <w:pStyle w:val="9"/>
              <w:ind w:right="91"/>
              <w:jc w:val="right"/>
              <w:rPr>
                <w:sz w:val="24"/>
              </w:rPr>
            </w:pPr>
            <w:r>
              <w:rPr>
                <w:sz w:val="24"/>
              </w:rPr>
              <w:t>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5"/>
              <w:rPr>
                <w:rFonts w:ascii="方正小标宋简体"/>
                <w:sz w:val="14"/>
              </w:rPr>
            </w:pPr>
          </w:p>
          <w:p>
            <w:pPr>
              <w:pStyle w:val="9"/>
              <w:spacing w:before="1" w:line="242" w:lineRule="auto"/>
              <w:ind w:left="115" w:right="114"/>
              <w:rPr>
                <w:sz w:val="24"/>
              </w:rPr>
            </w:pPr>
            <w:r>
              <w:rPr>
                <w:sz w:val="24"/>
              </w:rPr>
              <w:t>未明确要求供应商提供信用记录</w:t>
            </w:r>
          </w:p>
        </w:tc>
        <w:tc>
          <w:tcPr>
            <w:tcW w:w="4253" w:type="dxa"/>
            <w:tcBorders>
              <w:top w:val="single" w:color="000000" w:sz="4" w:space="0"/>
              <w:left w:val="single" w:color="000000" w:sz="4" w:space="0"/>
              <w:bottom w:val="single" w:color="000000" w:sz="4" w:space="0"/>
              <w:right w:val="single" w:color="000000" w:sz="4" w:space="0"/>
            </w:tcBorders>
            <w:shd w:val="clear" w:color="auto" w:fill="auto"/>
          </w:tcPr>
          <w:p>
            <w:pPr>
              <w:pStyle w:val="9"/>
              <w:numPr>
                <w:ilvl w:val="0"/>
                <w:numId w:val="2"/>
              </w:numPr>
              <w:tabs>
                <w:tab w:val="left" w:pos="354"/>
              </w:tabs>
              <w:spacing w:before="127" w:after="0" w:line="242" w:lineRule="auto"/>
              <w:ind w:left="112" w:right="91" w:firstLine="0"/>
              <w:jc w:val="left"/>
              <w:rPr>
                <w:sz w:val="24"/>
              </w:rPr>
            </w:pPr>
            <w:r>
              <w:rPr>
                <w:sz w:val="24"/>
              </w:rPr>
              <w:t>未明确要求供应商信用信息查询渠</w:t>
            </w:r>
            <w:r>
              <w:rPr>
                <w:spacing w:val="-8"/>
                <w:sz w:val="24"/>
              </w:rPr>
              <w:t>道及截止时点、信用信息查询记录和证</w:t>
            </w:r>
            <w:r>
              <w:rPr>
                <w:spacing w:val="-6"/>
                <w:sz w:val="24"/>
              </w:rPr>
              <w:t>据留存的具体方式、信用信息的使用规</w:t>
            </w:r>
            <w:r>
              <w:rPr>
                <w:sz w:val="24"/>
              </w:rPr>
              <w:t>则；</w:t>
            </w:r>
          </w:p>
          <w:p>
            <w:pPr>
              <w:pStyle w:val="9"/>
              <w:numPr>
                <w:ilvl w:val="0"/>
                <w:numId w:val="2"/>
              </w:numPr>
              <w:tabs>
                <w:tab w:val="left" w:pos="354"/>
              </w:tabs>
              <w:spacing w:before="5" w:after="0" w:line="242" w:lineRule="auto"/>
              <w:ind w:left="112" w:right="91" w:firstLine="0"/>
              <w:jc w:val="left"/>
              <w:rPr>
                <w:sz w:val="24"/>
              </w:rPr>
            </w:pPr>
            <w:r>
              <w:rPr>
                <w:spacing w:val="-5"/>
                <w:sz w:val="24"/>
              </w:rPr>
              <w:t>未明确将列入失信被执行人、重大税收违法案件当事人名单、政府采购严重</w:t>
            </w:r>
            <w:r>
              <w:rPr>
                <w:sz w:val="24"/>
              </w:rPr>
              <w:t>违法失信行为记录名单的供应商不得参与政府采购活动；</w:t>
            </w:r>
          </w:p>
          <w:p>
            <w:pPr>
              <w:pStyle w:val="9"/>
              <w:numPr>
                <w:ilvl w:val="0"/>
                <w:numId w:val="2"/>
              </w:numPr>
              <w:tabs>
                <w:tab w:val="left" w:pos="354"/>
              </w:tabs>
              <w:spacing w:before="6" w:after="0" w:line="242" w:lineRule="auto"/>
              <w:ind w:left="112" w:right="288" w:firstLine="0"/>
              <w:jc w:val="both"/>
              <w:rPr>
                <w:sz w:val="24"/>
              </w:rPr>
            </w:pPr>
            <w:r>
              <w:rPr>
                <w:spacing w:val="-2"/>
                <w:sz w:val="24"/>
              </w:rPr>
              <w:t>未明确在经营活动中有重大违法记录的供应商三年内不得参与政府采购</w:t>
            </w:r>
            <w:r>
              <w:rPr>
                <w:sz w:val="24"/>
              </w:rPr>
              <w:t>活动。</w:t>
            </w:r>
          </w:p>
        </w:tc>
        <w:tc>
          <w:tcPr>
            <w:tcW w:w="3687" w:type="dxa"/>
            <w:tcBorders>
              <w:top w:val="single" w:color="000000" w:sz="4" w:space="0"/>
              <w:left w:val="single" w:color="000000" w:sz="4" w:space="0"/>
              <w:bottom w:val="single" w:color="000000" w:sz="4" w:space="0"/>
              <w:right w:val="single" w:color="000000" w:sz="4" w:space="0"/>
            </w:tcBorders>
            <w:shd w:val="clear" w:color="auto" w:fill="auto"/>
          </w:tcPr>
          <w:p>
            <w:pPr>
              <w:pStyle w:val="9"/>
              <w:rPr>
                <w:rFonts w:ascii="方正小标宋简体"/>
                <w:sz w:val="24"/>
              </w:rPr>
            </w:pPr>
          </w:p>
          <w:p>
            <w:pPr>
              <w:pStyle w:val="9"/>
              <w:spacing w:before="6"/>
              <w:rPr>
                <w:rFonts w:ascii="方正小标宋简体"/>
                <w:sz w:val="18"/>
              </w:rPr>
            </w:pPr>
          </w:p>
          <w:p>
            <w:pPr>
              <w:pStyle w:val="9"/>
              <w:spacing w:line="242" w:lineRule="auto"/>
              <w:ind w:left="114" w:right="89"/>
              <w:rPr>
                <w:sz w:val="24"/>
              </w:rPr>
            </w:pPr>
            <w:r>
              <w:rPr>
                <w:sz w:val="24"/>
              </w:rPr>
              <w:t>《中华人民共和国政府采购法》第二十二条；《政府采购货物和</w:t>
            </w:r>
            <w:r>
              <w:rPr>
                <w:spacing w:val="-2"/>
                <w:sz w:val="24"/>
              </w:rPr>
              <w:t>服务招标投标管理办法》(财政部</w:t>
            </w:r>
            <w:r>
              <w:rPr>
                <w:spacing w:val="-20"/>
                <w:sz w:val="24"/>
              </w:rPr>
              <w:t xml:space="preserve">令第 </w:t>
            </w:r>
            <w:r>
              <w:rPr>
                <w:sz w:val="24"/>
              </w:rPr>
              <w:t>87</w:t>
            </w:r>
            <w:r>
              <w:rPr>
                <w:spacing w:val="-8"/>
                <w:sz w:val="24"/>
              </w:rPr>
              <w:t xml:space="preserve"> 号)第二十条；《财政部关于在政府采购活动中查询及使</w:t>
            </w:r>
            <w:r>
              <w:rPr>
                <w:spacing w:val="-10"/>
                <w:sz w:val="24"/>
              </w:rPr>
              <w:t>用信用记录有关问题的通知》(财</w:t>
            </w:r>
            <w:r>
              <w:rPr>
                <w:sz w:val="24"/>
              </w:rPr>
              <w:t>库〔2016〕125</w:t>
            </w:r>
            <w:r>
              <w:rPr>
                <w:spacing w:val="-20"/>
                <w:sz w:val="24"/>
              </w:rPr>
              <w:t xml:space="preserve"> 号)</w:t>
            </w:r>
          </w:p>
        </w:tc>
      </w:tr>
    </w:tbl>
    <w:p>
      <w:pPr>
        <w:spacing w:after="0" w:line="242" w:lineRule="auto"/>
        <w:rPr>
          <w:sz w:val="24"/>
        </w:rPr>
        <w:sectPr>
          <w:footerReference r:id="rId3" w:type="default"/>
          <w:pgSz w:w="11910" w:h="16840"/>
          <w:pgMar w:top="1320" w:right="660" w:bottom="1380" w:left="680" w:header="0" w:footer="1197" w:gutter="0"/>
          <w:pgBorders>
            <w:top w:val="none" w:sz="0" w:space="0"/>
            <w:left w:val="none" w:sz="0" w:space="0"/>
            <w:bottom w:val="none" w:sz="0" w:space="0"/>
            <w:right w:val="none" w:sz="0" w:space="0"/>
          </w:pgBorders>
        </w:sectPr>
      </w:pPr>
    </w:p>
    <w:tbl>
      <w:tblPr>
        <w:tblStyle w:val="5"/>
        <w:tblW w:w="1031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56"/>
        <w:gridCol w:w="1920"/>
        <w:gridCol w:w="4253"/>
        <w:gridCol w:w="3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91" w:hRule="atLeast"/>
        </w:trPr>
        <w:tc>
          <w:tcPr>
            <w:tcW w:w="456" w:type="dxa"/>
            <w:tcBorders>
              <w:tl2br w:val="nil"/>
              <w:tr2bl w:val="nil"/>
            </w:tcBorders>
            <w:shd w:val="clear" w:color="auto" w:fill="auto"/>
          </w:tcPr>
          <w:p>
            <w:pPr>
              <w:pStyle w:val="9"/>
              <w:spacing w:before="33" w:line="242" w:lineRule="auto"/>
              <w:ind w:left="107" w:right="96"/>
              <w:rPr>
                <w:rFonts w:hint="eastAsia" w:ascii="黑体" w:eastAsia="黑体"/>
                <w:sz w:val="24"/>
              </w:rPr>
            </w:pPr>
            <w:r>
              <w:rPr>
                <w:rFonts w:hint="eastAsia" w:ascii="黑体" w:eastAsia="黑体"/>
                <w:sz w:val="24"/>
              </w:rPr>
              <w:t>序号</w:t>
            </w:r>
          </w:p>
        </w:tc>
        <w:tc>
          <w:tcPr>
            <w:tcW w:w="1920" w:type="dxa"/>
            <w:tcBorders>
              <w:tl2br w:val="nil"/>
              <w:tr2bl w:val="nil"/>
            </w:tcBorders>
            <w:shd w:val="clear" w:color="auto" w:fill="auto"/>
          </w:tcPr>
          <w:p>
            <w:pPr>
              <w:pStyle w:val="9"/>
              <w:spacing w:before="189"/>
              <w:ind w:left="482"/>
              <w:rPr>
                <w:rFonts w:hint="eastAsia" w:ascii="黑体" w:eastAsia="黑体"/>
                <w:sz w:val="24"/>
              </w:rPr>
            </w:pPr>
            <w:r>
              <w:rPr>
                <w:rFonts w:hint="eastAsia" w:ascii="黑体" w:eastAsia="黑体"/>
                <w:sz w:val="24"/>
              </w:rPr>
              <w:t>禁止事项</w:t>
            </w:r>
          </w:p>
        </w:tc>
        <w:tc>
          <w:tcPr>
            <w:tcW w:w="4253" w:type="dxa"/>
            <w:tcBorders>
              <w:tl2br w:val="nil"/>
              <w:tr2bl w:val="nil"/>
            </w:tcBorders>
            <w:shd w:val="clear" w:color="auto" w:fill="auto"/>
          </w:tcPr>
          <w:p>
            <w:pPr>
              <w:pStyle w:val="9"/>
              <w:spacing w:before="189"/>
              <w:ind w:left="1626" w:right="1617"/>
              <w:jc w:val="center"/>
              <w:rPr>
                <w:rFonts w:hint="eastAsia" w:ascii="黑体" w:eastAsia="黑体"/>
                <w:sz w:val="24"/>
              </w:rPr>
            </w:pPr>
            <w:r>
              <w:rPr>
                <w:rFonts w:hint="eastAsia" w:ascii="黑体" w:eastAsia="黑体"/>
                <w:sz w:val="24"/>
              </w:rPr>
              <w:t>具体内容</w:t>
            </w:r>
          </w:p>
        </w:tc>
        <w:tc>
          <w:tcPr>
            <w:tcW w:w="3687" w:type="dxa"/>
            <w:tcBorders>
              <w:tl2br w:val="nil"/>
              <w:tr2bl w:val="nil"/>
            </w:tcBorders>
            <w:shd w:val="clear" w:color="auto" w:fill="auto"/>
          </w:tcPr>
          <w:p>
            <w:pPr>
              <w:pStyle w:val="9"/>
              <w:spacing w:before="189"/>
              <w:ind w:left="405"/>
              <w:rPr>
                <w:rFonts w:hint="eastAsia" w:ascii="黑体" w:eastAsia="黑体"/>
                <w:sz w:val="24"/>
              </w:rPr>
            </w:pPr>
            <w:r>
              <w:rPr>
                <w:rFonts w:hint="eastAsia" w:ascii="黑体" w:eastAsia="黑体"/>
                <w:sz w:val="24"/>
              </w:rPr>
              <w:t>法律、法规、政策文件依据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5" w:hRule="atLeast"/>
        </w:trPr>
        <w:tc>
          <w:tcPr>
            <w:tcW w:w="456"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1"/>
              <w:rPr>
                <w:rFonts w:ascii="方正小标宋简体"/>
                <w:sz w:val="23"/>
              </w:rPr>
            </w:pPr>
          </w:p>
          <w:p>
            <w:pPr>
              <w:pStyle w:val="9"/>
              <w:ind w:right="96"/>
              <w:jc w:val="right"/>
              <w:rPr>
                <w:sz w:val="24"/>
              </w:rPr>
            </w:pPr>
            <w:r>
              <w:rPr>
                <w:sz w:val="24"/>
              </w:rPr>
              <w:t>6</w:t>
            </w:r>
          </w:p>
        </w:tc>
        <w:tc>
          <w:tcPr>
            <w:tcW w:w="1920"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12"/>
              <w:rPr>
                <w:rFonts w:ascii="方正小标宋简体"/>
                <w:sz w:val="20"/>
              </w:rPr>
            </w:pPr>
          </w:p>
          <w:p>
            <w:pPr>
              <w:pStyle w:val="9"/>
              <w:spacing w:line="242" w:lineRule="auto"/>
              <w:ind w:left="110" w:right="117"/>
              <w:jc w:val="both"/>
              <w:rPr>
                <w:sz w:val="24"/>
              </w:rPr>
            </w:pPr>
            <w:r>
              <w:rPr>
                <w:sz w:val="24"/>
              </w:rPr>
              <w:t>以其他不合理条件对供应商实行差别待遇或者歧视待遇</w:t>
            </w:r>
          </w:p>
        </w:tc>
        <w:tc>
          <w:tcPr>
            <w:tcW w:w="4253" w:type="dxa"/>
            <w:tcBorders>
              <w:tl2br w:val="nil"/>
              <w:tr2bl w:val="nil"/>
            </w:tcBorders>
            <w:shd w:val="clear" w:color="auto" w:fill="auto"/>
          </w:tcPr>
          <w:p>
            <w:pPr>
              <w:pStyle w:val="9"/>
              <w:spacing w:before="5"/>
              <w:rPr>
                <w:rFonts w:ascii="方正小标宋简体"/>
                <w:sz w:val="22"/>
              </w:rPr>
            </w:pPr>
          </w:p>
          <w:p>
            <w:pPr>
              <w:pStyle w:val="9"/>
              <w:numPr>
                <w:ilvl w:val="0"/>
                <w:numId w:val="3"/>
              </w:numPr>
              <w:tabs>
                <w:tab w:val="left" w:pos="349"/>
              </w:tabs>
              <w:spacing w:before="0" w:after="0" w:line="242" w:lineRule="auto"/>
              <w:ind w:left="107" w:right="96" w:firstLine="0"/>
              <w:jc w:val="left"/>
              <w:rPr>
                <w:sz w:val="24"/>
              </w:rPr>
            </w:pPr>
            <w:r>
              <w:rPr>
                <w:sz w:val="24"/>
              </w:rPr>
              <w:t>将国务院已明令取消的或国家行政</w:t>
            </w:r>
            <w:r>
              <w:rPr>
                <w:spacing w:val="-6"/>
                <w:sz w:val="24"/>
              </w:rPr>
              <w:t>机关非强制的资质、资格、认证、目录</w:t>
            </w:r>
            <w:r>
              <w:rPr>
                <w:sz w:val="24"/>
              </w:rPr>
              <w:t>等作为资格条件；</w:t>
            </w:r>
          </w:p>
          <w:p>
            <w:pPr>
              <w:pStyle w:val="9"/>
              <w:numPr>
                <w:ilvl w:val="0"/>
                <w:numId w:val="3"/>
              </w:numPr>
              <w:tabs>
                <w:tab w:val="left" w:pos="349"/>
              </w:tabs>
              <w:spacing w:before="5" w:after="0" w:line="242" w:lineRule="auto"/>
              <w:ind w:left="107" w:right="96" w:firstLine="0"/>
              <w:jc w:val="left"/>
              <w:rPr>
                <w:sz w:val="24"/>
              </w:rPr>
            </w:pPr>
            <w:r>
              <w:rPr>
                <w:spacing w:val="-5"/>
                <w:sz w:val="24"/>
              </w:rPr>
              <w:t>限定或指定特定的专利、商标、品牌</w:t>
            </w:r>
            <w:r>
              <w:rPr>
                <w:sz w:val="24"/>
              </w:rPr>
              <w:t>或者供应商；</w:t>
            </w:r>
          </w:p>
          <w:p>
            <w:pPr>
              <w:pStyle w:val="9"/>
              <w:numPr>
                <w:ilvl w:val="0"/>
                <w:numId w:val="3"/>
              </w:numPr>
              <w:tabs>
                <w:tab w:val="left" w:pos="349"/>
              </w:tabs>
              <w:spacing w:before="2" w:after="0" w:line="242" w:lineRule="auto"/>
              <w:ind w:left="107" w:right="53" w:firstLine="0"/>
              <w:jc w:val="left"/>
              <w:rPr>
                <w:sz w:val="24"/>
              </w:rPr>
            </w:pPr>
            <w:r>
              <w:rPr>
                <w:spacing w:val="-2"/>
                <w:sz w:val="24"/>
              </w:rPr>
              <w:t>将除进口货物以外的生产厂家授权、</w:t>
            </w:r>
            <w:r>
              <w:rPr>
                <w:sz w:val="24"/>
              </w:rPr>
              <w:t>承诺、证明、背书等作为资格条件； 4.非法限定营业执照经营范围内的具 体名称或设置经营年限等限制条款； 5.</w:t>
            </w:r>
            <w:r>
              <w:rPr>
                <w:spacing w:val="-6"/>
                <w:sz w:val="24"/>
              </w:rPr>
              <w:t>将协议供货、定点、电子卖场供应商</w:t>
            </w:r>
            <w:r>
              <w:rPr>
                <w:spacing w:val="-9"/>
                <w:sz w:val="24"/>
              </w:rPr>
              <w:t>名单(名录)作为非协议供货、定点、电子卖场方式采购项目资格条件。</w:t>
            </w:r>
          </w:p>
        </w:tc>
        <w:tc>
          <w:tcPr>
            <w:tcW w:w="3687"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spacing w:before="1"/>
              <w:rPr>
                <w:rFonts w:ascii="方正小标宋简体"/>
                <w:sz w:val="27"/>
              </w:rPr>
            </w:pPr>
          </w:p>
          <w:p>
            <w:pPr>
              <w:pStyle w:val="9"/>
              <w:spacing w:line="242" w:lineRule="auto"/>
              <w:ind w:left="88" w:right="72"/>
              <w:jc w:val="center"/>
              <w:rPr>
                <w:sz w:val="24"/>
              </w:rPr>
            </w:pPr>
            <w:r>
              <w:rPr>
                <w:sz w:val="24"/>
              </w:rPr>
              <w:t>《中华人民共和国政府采购法》第五条、第二十二条；《中华人民共和国政府采购法实施条例》第二十条；《政府采购货物和服务招标投标管理办法》(财政部令第 87 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0316" w:type="dxa"/>
            <w:gridSpan w:val="4"/>
            <w:tcBorders>
              <w:tl2br w:val="nil"/>
              <w:tr2bl w:val="nil"/>
            </w:tcBorders>
            <w:shd w:val="clear" w:color="auto" w:fill="auto"/>
          </w:tcPr>
          <w:p>
            <w:pPr>
              <w:pStyle w:val="9"/>
              <w:spacing w:before="240"/>
              <w:ind w:left="107"/>
              <w:rPr>
                <w:rFonts w:hint="eastAsia" w:ascii="黑体" w:hAnsi="黑体" w:eastAsia="黑体"/>
                <w:sz w:val="28"/>
              </w:rPr>
            </w:pPr>
            <w:r>
              <w:rPr>
                <w:rFonts w:hint="eastAsia" w:ascii="黑体" w:hAnsi="黑体" w:eastAsia="黑体"/>
                <w:sz w:val="28"/>
              </w:rPr>
              <w:t>(二)采购需求——适用主体：采购人和采购代理机构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9" w:hRule="atLeast"/>
        </w:trPr>
        <w:tc>
          <w:tcPr>
            <w:tcW w:w="456"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13"/>
              <w:rPr>
                <w:rFonts w:ascii="方正小标宋简体"/>
                <w:sz w:val="26"/>
              </w:rPr>
            </w:pPr>
          </w:p>
          <w:p>
            <w:pPr>
              <w:pStyle w:val="9"/>
              <w:ind w:right="96"/>
              <w:jc w:val="right"/>
              <w:rPr>
                <w:sz w:val="24"/>
              </w:rPr>
            </w:pPr>
            <w:r>
              <w:rPr>
                <w:sz w:val="24"/>
              </w:rPr>
              <w:t>7</w:t>
            </w:r>
          </w:p>
        </w:tc>
        <w:tc>
          <w:tcPr>
            <w:tcW w:w="1920"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17"/>
              <w:rPr>
                <w:rFonts w:ascii="方正小标宋简体"/>
                <w:sz w:val="17"/>
              </w:rPr>
            </w:pPr>
          </w:p>
          <w:p>
            <w:pPr>
              <w:pStyle w:val="9"/>
              <w:spacing w:line="242" w:lineRule="auto"/>
              <w:ind w:left="110" w:right="117"/>
              <w:rPr>
                <w:sz w:val="24"/>
              </w:rPr>
            </w:pPr>
            <w:r>
              <w:rPr>
                <w:sz w:val="24"/>
              </w:rPr>
              <w:t>未落实政府采购政策</w:t>
            </w:r>
          </w:p>
        </w:tc>
        <w:tc>
          <w:tcPr>
            <w:tcW w:w="4253"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spacing w:before="14"/>
              <w:rPr>
                <w:rFonts w:ascii="方正小标宋简体"/>
                <w:sz w:val="34"/>
              </w:rPr>
            </w:pPr>
          </w:p>
          <w:p>
            <w:pPr>
              <w:pStyle w:val="9"/>
              <w:numPr>
                <w:ilvl w:val="0"/>
                <w:numId w:val="0"/>
              </w:numPr>
              <w:tabs>
                <w:tab w:val="left" w:pos="349"/>
              </w:tabs>
              <w:spacing w:before="3" w:after="0" w:line="242" w:lineRule="auto"/>
              <w:ind w:left="107" w:leftChars="0" w:right="173" w:rightChars="0"/>
              <w:jc w:val="left"/>
              <w:rPr>
                <w:spacing w:val="-2"/>
                <w:sz w:val="24"/>
              </w:rPr>
            </w:pPr>
            <w:r>
              <w:rPr>
                <w:rFonts w:hint="eastAsia"/>
                <w:spacing w:val="-2"/>
                <w:sz w:val="24"/>
                <w:lang w:val="en-US" w:eastAsia="zh-CN"/>
              </w:rPr>
              <w:t>1.</w:t>
            </w:r>
            <w:r>
              <w:rPr>
                <w:spacing w:val="-2"/>
                <w:sz w:val="24"/>
              </w:rPr>
              <w:t>未明确强制或优先采购节能产品；</w:t>
            </w:r>
          </w:p>
          <w:p>
            <w:pPr>
              <w:pStyle w:val="9"/>
              <w:numPr>
                <w:ilvl w:val="0"/>
                <w:numId w:val="0"/>
              </w:numPr>
              <w:tabs>
                <w:tab w:val="left" w:pos="349"/>
              </w:tabs>
              <w:spacing w:before="3" w:after="0" w:line="242" w:lineRule="auto"/>
              <w:ind w:left="107" w:leftChars="0" w:right="173" w:rightChars="0"/>
              <w:jc w:val="left"/>
              <w:rPr>
                <w:spacing w:val="-2"/>
                <w:sz w:val="24"/>
              </w:rPr>
            </w:pPr>
            <w:r>
              <w:rPr>
                <w:rFonts w:hint="eastAsia"/>
                <w:spacing w:val="-2"/>
                <w:sz w:val="24"/>
                <w:lang w:val="en-US" w:eastAsia="zh-CN"/>
              </w:rPr>
              <w:t>2.</w:t>
            </w:r>
            <w:r>
              <w:rPr>
                <w:spacing w:val="-2"/>
                <w:sz w:val="24"/>
              </w:rPr>
              <w:t>未明确优先采购环保产品；</w:t>
            </w:r>
          </w:p>
          <w:p>
            <w:pPr>
              <w:pStyle w:val="9"/>
              <w:numPr>
                <w:ilvl w:val="0"/>
                <w:numId w:val="4"/>
              </w:numPr>
              <w:tabs>
                <w:tab w:val="left" w:pos="349"/>
              </w:tabs>
              <w:spacing w:before="3" w:after="0" w:line="242" w:lineRule="auto"/>
              <w:ind w:left="107" w:right="173" w:firstLine="0"/>
              <w:jc w:val="left"/>
              <w:rPr>
                <w:sz w:val="24"/>
              </w:rPr>
            </w:pPr>
            <w:r>
              <w:rPr>
                <w:spacing w:val="-2"/>
                <w:sz w:val="24"/>
              </w:rPr>
              <w:t>未明确促进中小企业发展政策(监狱</w:t>
            </w:r>
            <w:r>
              <w:rPr>
                <w:sz w:val="24"/>
              </w:rPr>
              <w:t>企业、残疾人福利性单位视同小微企业)；</w:t>
            </w:r>
          </w:p>
          <w:p>
            <w:pPr>
              <w:pStyle w:val="9"/>
              <w:numPr>
                <w:ilvl w:val="0"/>
                <w:numId w:val="4"/>
              </w:numPr>
              <w:tabs>
                <w:tab w:val="left" w:pos="349"/>
              </w:tabs>
              <w:spacing w:before="4" w:after="0" w:line="242" w:lineRule="auto"/>
              <w:ind w:left="107" w:right="53" w:firstLine="0"/>
              <w:jc w:val="left"/>
              <w:rPr>
                <w:sz w:val="24"/>
              </w:rPr>
            </w:pPr>
            <w:r>
              <w:rPr>
                <w:spacing w:val="-2"/>
                <w:sz w:val="24"/>
              </w:rPr>
              <w:t>未明确优先采购贫困地区农副产品、</w:t>
            </w:r>
            <w:r>
              <w:rPr>
                <w:sz w:val="24"/>
              </w:rPr>
              <w:t>物业服务。</w:t>
            </w:r>
          </w:p>
          <w:p>
            <w:pPr>
              <w:pStyle w:val="9"/>
              <w:numPr>
                <w:ilvl w:val="0"/>
                <w:numId w:val="4"/>
              </w:numPr>
              <w:tabs>
                <w:tab w:val="left" w:pos="349"/>
              </w:tabs>
              <w:spacing w:before="3" w:after="0" w:line="242" w:lineRule="auto"/>
              <w:ind w:left="107" w:right="96" w:firstLine="0"/>
              <w:jc w:val="left"/>
              <w:rPr>
                <w:sz w:val="24"/>
              </w:rPr>
            </w:pPr>
            <w:r>
              <w:rPr>
                <w:sz w:val="24"/>
              </w:rPr>
              <w:t>采购进口产品的，未经财政部门核</w:t>
            </w:r>
            <w:r>
              <w:rPr>
                <w:spacing w:val="-8"/>
                <w:sz w:val="24"/>
              </w:rPr>
              <w:t>准；或已按规定经财政部门核准同意购</w:t>
            </w:r>
            <w:r>
              <w:rPr>
                <w:sz w:val="24"/>
              </w:rPr>
              <w:t>买进口产品的，限制国内产品参与竞争；</w:t>
            </w:r>
          </w:p>
        </w:tc>
        <w:tc>
          <w:tcPr>
            <w:tcW w:w="3687" w:type="dxa"/>
            <w:tcBorders>
              <w:tl2br w:val="nil"/>
              <w:tr2bl w:val="nil"/>
            </w:tcBorders>
            <w:shd w:val="clear" w:color="auto" w:fill="auto"/>
          </w:tcPr>
          <w:p>
            <w:pPr>
              <w:pStyle w:val="9"/>
              <w:spacing w:before="7"/>
              <w:rPr>
                <w:rFonts w:ascii="方正小标宋简体"/>
                <w:sz w:val="12"/>
              </w:rPr>
            </w:pPr>
          </w:p>
          <w:p>
            <w:pPr>
              <w:pStyle w:val="9"/>
              <w:spacing w:line="242" w:lineRule="auto"/>
              <w:ind w:left="110" w:right="94"/>
              <w:rPr>
                <w:sz w:val="24"/>
              </w:rPr>
            </w:pPr>
            <w:r>
              <w:rPr>
                <w:sz w:val="24"/>
              </w:rPr>
              <w:t>《中华人民共和国政府采购法》第九条；《关于优化节能产品、环境标志产品政府采购执行机制</w:t>
            </w:r>
            <w:r>
              <w:rPr>
                <w:spacing w:val="-17"/>
                <w:sz w:val="24"/>
              </w:rPr>
              <w:t>的通知》(财库〔</w:t>
            </w:r>
            <w:r>
              <w:rPr>
                <w:sz w:val="24"/>
              </w:rPr>
              <w:t>2019</w:t>
            </w:r>
            <w:r>
              <w:rPr>
                <w:spacing w:val="-60"/>
                <w:sz w:val="24"/>
              </w:rPr>
              <w:t>〕</w:t>
            </w:r>
            <w:r>
              <w:rPr>
                <w:sz w:val="24"/>
              </w:rPr>
              <w:t>9</w:t>
            </w:r>
            <w:r>
              <w:rPr>
                <w:spacing w:val="-35"/>
                <w:sz w:val="24"/>
              </w:rPr>
              <w:t xml:space="preserve"> 号)；《政</w:t>
            </w:r>
            <w:r>
              <w:rPr>
                <w:sz w:val="24"/>
              </w:rPr>
              <w:t>府采购促进中小企业发展暂行办</w:t>
            </w:r>
            <w:r>
              <w:rPr>
                <w:spacing w:val="-6"/>
                <w:sz w:val="24"/>
              </w:rPr>
              <w:t>法》(财库〔</w:t>
            </w:r>
            <w:r>
              <w:rPr>
                <w:sz w:val="24"/>
              </w:rPr>
              <w:t>2011</w:t>
            </w:r>
            <w:r>
              <w:rPr>
                <w:spacing w:val="-15"/>
                <w:sz w:val="24"/>
              </w:rPr>
              <w:t>〕</w:t>
            </w:r>
            <w:r>
              <w:rPr>
                <w:sz w:val="24"/>
              </w:rPr>
              <w:t>181</w:t>
            </w:r>
            <w:r>
              <w:rPr>
                <w:spacing w:val="-19"/>
                <w:sz w:val="24"/>
              </w:rPr>
              <w:t xml:space="preserve"> 号)；《财</w:t>
            </w:r>
            <w:r>
              <w:rPr>
                <w:sz w:val="24"/>
              </w:rPr>
              <w:t>政部 司法部关于政府采购支持监狱企业发展有关问题的通知》</w:t>
            </w:r>
            <w:r>
              <w:rPr>
                <w:spacing w:val="-20"/>
                <w:sz w:val="24"/>
              </w:rPr>
              <w:t>(财库〔</w:t>
            </w:r>
            <w:r>
              <w:rPr>
                <w:sz w:val="24"/>
              </w:rPr>
              <w:t>2014</w:t>
            </w:r>
            <w:r>
              <w:rPr>
                <w:spacing w:val="-77"/>
                <w:sz w:val="24"/>
              </w:rPr>
              <w:t>〕</w:t>
            </w:r>
            <w:r>
              <w:rPr>
                <w:sz w:val="24"/>
              </w:rPr>
              <w:t>68</w:t>
            </w:r>
            <w:r>
              <w:rPr>
                <w:spacing w:val="-25"/>
                <w:sz w:val="24"/>
              </w:rPr>
              <w:t xml:space="preserve"> 号)；《财政部 民</w:t>
            </w:r>
            <w:r>
              <w:rPr>
                <w:sz w:val="24"/>
              </w:rPr>
              <w:t>政部 中国残疾人联合会关于促进残疾人就业政府采购政策的通</w:t>
            </w:r>
            <w:r>
              <w:rPr>
                <w:spacing w:val="-6"/>
                <w:sz w:val="24"/>
              </w:rPr>
              <w:t>知》(财库〔</w:t>
            </w:r>
            <w:r>
              <w:rPr>
                <w:sz w:val="24"/>
              </w:rPr>
              <w:t>2017</w:t>
            </w:r>
            <w:r>
              <w:rPr>
                <w:spacing w:val="-15"/>
                <w:sz w:val="24"/>
              </w:rPr>
              <w:t>〕</w:t>
            </w:r>
            <w:r>
              <w:rPr>
                <w:sz w:val="24"/>
              </w:rPr>
              <w:t>141</w:t>
            </w:r>
            <w:r>
              <w:rPr>
                <w:spacing w:val="-19"/>
                <w:sz w:val="24"/>
              </w:rPr>
              <w:t xml:space="preserve"> 号)；《政</w:t>
            </w:r>
            <w:r>
              <w:rPr>
                <w:spacing w:val="-3"/>
                <w:sz w:val="24"/>
              </w:rPr>
              <w:t>府采购进口产品管理办法》(财库</w:t>
            </w:r>
          </w:p>
          <w:p>
            <w:pPr>
              <w:pStyle w:val="9"/>
              <w:spacing w:before="19" w:line="242" w:lineRule="auto"/>
              <w:ind w:left="110" w:right="94"/>
              <w:rPr>
                <w:sz w:val="24"/>
              </w:rPr>
            </w:pPr>
            <w:r>
              <w:rPr>
                <w:sz w:val="24"/>
              </w:rPr>
              <w:t>〔2007〕119</w:t>
            </w:r>
            <w:r>
              <w:rPr>
                <w:spacing w:val="-8"/>
                <w:sz w:val="24"/>
              </w:rPr>
              <w:t xml:space="preserve"> 号)；《关于政府采购进口产品管理有关问题的通知</w:t>
            </w:r>
            <w:r>
              <w:rPr>
                <w:spacing w:val="-23"/>
                <w:sz w:val="24"/>
              </w:rPr>
              <w:t>》(财办库〔</w:t>
            </w:r>
            <w:r>
              <w:rPr>
                <w:sz w:val="24"/>
              </w:rPr>
              <w:t>2008</w:t>
            </w:r>
            <w:r>
              <w:rPr>
                <w:spacing w:val="-63"/>
                <w:sz w:val="24"/>
              </w:rPr>
              <w:t>〕</w:t>
            </w:r>
            <w:r>
              <w:rPr>
                <w:sz w:val="24"/>
              </w:rPr>
              <w:t>2</w:t>
            </w:r>
            <w:r>
              <w:rPr>
                <w:spacing w:val="2"/>
                <w:sz w:val="24"/>
              </w:rPr>
              <w:t>4</w:t>
            </w:r>
            <w:r>
              <w:rPr>
                <w:sz w:val="24"/>
              </w:rPr>
              <w:t>8</w:t>
            </w:r>
            <w:r>
              <w:rPr>
                <w:spacing w:val="-30"/>
                <w:sz w:val="24"/>
              </w:rPr>
              <w:t xml:space="preserve"> 号)；《财政部 国家扶贫办关于运用政府采购政策支持脱贫攻坚的通知》(财库〔2019〕27</w:t>
            </w:r>
            <w:r>
              <w:rPr>
                <w:spacing w:val="-20"/>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456" w:type="dxa"/>
            <w:tcBorders>
              <w:tl2br w:val="nil"/>
              <w:tr2bl w:val="nil"/>
            </w:tcBorders>
            <w:shd w:val="clear" w:color="auto" w:fill="auto"/>
          </w:tcPr>
          <w:p>
            <w:pPr>
              <w:pStyle w:val="9"/>
              <w:spacing w:before="2"/>
              <w:rPr>
                <w:rFonts w:ascii="方正小标宋简体"/>
                <w:sz w:val="31"/>
              </w:rPr>
            </w:pPr>
          </w:p>
          <w:p>
            <w:pPr>
              <w:pStyle w:val="9"/>
              <w:ind w:left="107"/>
              <w:rPr>
                <w:sz w:val="24"/>
              </w:rPr>
            </w:pPr>
            <w:r>
              <w:rPr>
                <w:sz w:val="24"/>
              </w:rPr>
              <w:t>8</w:t>
            </w:r>
          </w:p>
        </w:tc>
        <w:tc>
          <w:tcPr>
            <w:tcW w:w="1920" w:type="dxa"/>
            <w:tcBorders>
              <w:tl2br w:val="nil"/>
              <w:tr2bl w:val="nil"/>
            </w:tcBorders>
            <w:shd w:val="clear" w:color="auto" w:fill="auto"/>
          </w:tcPr>
          <w:p>
            <w:pPr>
              <w:pStyle w:val="9"/>
              <w:spacing w:before="5"/>
              <w:rPr>
                <w:rFonts w:ascii="方正小标宋简体"/>
                <w:sz w:val="22"/>
              </w:rPr>
            </w:pPr>
          </w:p>
          <w:p>
            <w:pPr>
              <w:pStyle w:val="9"/>
              <w:spacing w:line="242" w:lineRule="auto"/>
              <w:ind w:left="110" w:right="117"/>
              <w:rPr>
                <w:sz w:val="24"/>
              </w:rPr>
            </w:pPr>
            <w:r>
              <w:rPr>
                <w:sz w:val="24"/>
              </w:rPr>
              <w:t>擅自提高配置标准</w:t>
            </w:r>
          </w:p>
        </w:tc>
        <w:tc>
          <w:tcPr>
            <w:tcW w:w="4253" w:type="dxa"/>
            <w:tcBorders>
              <w:tl2br w:val="nil"/>
              <w:tr2bl w:val="nil"/>
            </w:tcBorders>
            <w:shd w:val="clear" w:color="auto" w:fill="auto"/>
          </w:tcPr>
          <w:p>
            <w:pPr>
              <w:pStyle w:val="9"/>
              <w:spacing w:before="5"/>
              <w:rPr>
                <w:rFonts w:ascii="方正小标宋简体"/>
                <w:sz w:val="22"/>
              </w:rPr>
            </w:pPr>
          </w:p>
          <w:p>
            <w:pPr>
              <w:pStyle w:val="9"/>
              <w:spacing w:line="242" w:lineRule="auto"/>
              <w:ind w:left="107" w:right="36"/>
              <w:rPr>
                <w:sz w:val="24"/>
              </w:rPr>
            </w:pPr>
            <w:r>
              <w:rPr>
                <w:sz w:val="24"/>
              </w:rPr>
              <w:t>未按国家、省、市相关规定，擅自提高配置标准。</w:t>
            </w:r>
          </w:p>
        </w:tc>
        <w:tc>
          <w:tcPr>
            <w:tcW w:w="3687" w:type="dxa"/>
            <w:tcBorders>
              <w:tl2br w:val="nil"/>
              <w:tr2bl w:val="nil"/>
            </w:tcBorders>
            <w:shd w:val="clear" w:color="auto" w:fill="auto"/>
          </w:tcPr>
          <w:p>
            <w:pPr>
              <w:pStyle w:val="9"/>
              <w:spacing w:before="5"/>
              <w:rPr>
                <w:rFonts w:ascii="方正小标宋简体"/>
                <w:sz w:val="22"/>
              </w:rPr>
            </w:pPr>
          </w:p>
          <w:p>
            <w:pPr>
              <w:pStyle w:val="9"/>
              <w:spacing w:line="242" w:lineRule="auto"/>
              <w:ind w:left="110" w:right="206"/>
              <w:rPr>
                <w:sz w:val="24"/>
              </w:rPr>
            </w:pPr>
            <w:r>
              <w:rPr>
                <w:sz w:val="24"/>
              </w:rPr>
              <w:t>《中华人民共和国政府采购法》第七十一条；</w:t>
            </w:r>
          </w:p>
        </w:tc>
      </w:tr>
    </w:tbl>
    <w:p>
      <w:pPr>
        <w:spacing w:after="0" w:line="242" w:lineRule="auto"/>
        <w:rPr>
          <w:sz w:val="24"/>
        </w:rPr>
        <w:sectPr>
          <w:footerReference r:id="rId4" w:type="default"/>
          <w:pgSz w:w="11910" w:h="16840"/>
          <w:pgMar w:top="1420" w:right="660" w:bottom="1300" w:left="680" w:header="0" w:footer="1117" w:gutter="0"/>
          <w:pgBorders>
            <w:top w:val="none" w:sz="0" w:space="0"/>
            <w:left w:val="none" w:sz="0" w:space="0"/>
            <w:bottom w:val="none" w:sz="0" w:space="0"/>
            <w:right w:val="none" w:sz="0" w:space="0"/>
          </w:pgBorders>
        </w:sectPr>
      </w:pPr>
    </w:p>
    <w:tbl>
      <w:tblPr>
        <w:tblStyle w:val="5"/>
        <w:tblW w:w="1031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56"/>
        <w:gridCol w:w="1920"/>
        <w:gridCol w:w="4253"/>
        <w:gridCol w:w="3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456" w:type="dxa"/>
            <w:tcBorders>
              <w:tl2br w:val="nil"/>
              <w:tr2bl w:val="nil"/>
            </w:tcBorders>
            <w:shd w:val="clear" w:color="auto" w:fill="auto"/>
          </w:tcPr>
          <w:p>
            <w:pPr>
              <w:pStyle w:val="9"/>
              <w:ind w:left="107"/>
              <w:rPr>
                <w:rFonts w:hint="eastAsia" w:ascii="黑体" w:eastAsia="黑体"/>
                <w:sz w:val="24"/>
              </w:rPr>
            </w:pPr>
            <w:r>
              <w:rPr>
                <w:rFonts w:hint="eastAsia" w:ascii="黑体" w:eastAsia="黑体"/>
                <w:sz w:val="24"/>
              </w:rPr>
              <w:t>序</w:t>
            </w:r>
          </w:p>
          <w:p>
            <w:pPr>
              <w:pStyle w:val="9"/>
              <w:spacing w:before="4" w:line="292" w:lineRule="exact"/>
              <w:ind w:left="107"/>
              <w:rPr>
                <w:rFonts w:hint="eastAsia" w:ascii="黑体" w:eastAsia="黑体"/>
                <w:sz w:val="24"/>
              </w:rPr>
            </w:pPr>
            <w:r>
              <w:rPr>
                <w:rFonts w:hint="eastAsia" w:ascii="黑体" w:eastAsia="黑体"/>
                <w:sz w:val="24"/>
              </w:rPr>
              <w:t>号</w:t>
            </w:r>
          </w:p>
        </w:tc>
        <w:tc>
          <w:tcPr>
            <w:tcW w:w="1920" w:type="dxa"/>
            <w:tcBorders>
              <w:tl2br w:val="nil"/>
              <w:tr2bl w:val="nil"/>
            </w:tcBorders>
            <w:shd w:val="clear" w:color="auto" w:fill="auto"/>
          </w:tcPr>
          <w:p>
            <w:pPr>
              <w:pStyle w:val="9"/>
              <w:spacing w:before="156"/>
              <w:ind w:left="482"/>
              <w:rPr>
                <w:rFonts w:hint="eastAsia" w:ascii="黑体" w:eastAsia="黑体"/>
                <w:sz w:val="24"/>
              </w:rPr>
            </w:pPr>
            <w:r>
              <w:rPr>
                <w:rFonts w:hint="eastAsia" w:ascii="黑体" w:eastAsia="黑体"/>
                <w:sz w:val="24"/>
              </w:rPr>
              <w:t>禁止事项</w:t>
            </w:r>
          </w:p>
        </w:tc>
        <w:tc>
          <w:tcPr>
            <w:tcW w:w="4253" w:type="dxa"/>
            <w:tcBorders>
              <w:tl2br w:val="nil"/>
              <w:tr2bl w:val="nil"/>
            </w:tcBorders>
            <w:shd w:val="clear" w:color="auto" w:fill="auto"/>
          </w:tcPr>
          <w:p>
            <w:pPr>
              <w:pStyle w:val="9"/>
              <w:spacing w:before="156"/>
              <w:ind w:left="1626" w:right="1617"/>
              <w:jc w:val="center"/>
              <w:rPr>
                <w:rFonts w:hint="eastAsia" w:ascii="黑体" w:eastAsia="黑体"/>
                <w:sz w:val="24"/>
              </w:rPr>
            </w:pPr>
            <w:r>
              <w:rPr>
                <w:rFonts w:hint="eastAsia" w:ascii="黑体" w:eastAsia="黑体"/>
                <w:sz w:val="24"/>
              </w:rPr>
              <w:t>具体内容</w:t>
            </w:r>
          </w:p>
        </w:tc>
        <w:tc>
          <w:tcPr>
            <w:tcW w:w="3687" w:type="dxa"/>
            <w:tcBorders>
              <w:tl2br w:val="nil"/>
              <w:tr2bl w:val="nil"/>
            </w:tcBorders>
            <w:shd w:val="clear" w:color="auto" w:fill="auto"/>
          </w:tcPr>
          <w:p>
            <w:pPr>
              <w:pStyle w:val="9"/>
              <w:spacing w:before="156"/>
              <w:ind w:left="405"/>
              <w:rPr>
                <w:rFonts w:hint="eastAsia" w:ascii="黑体" w:eastAsia="黑体"/>
                <w:sz w:val="24"/>
              </w:rPr>
            </w:pPr>
            <w:r>
              <w:rPr>
                <w:rFonts w:hint="eastAsia" w:ascii="黑体" w:eastAsia="黑体"/>
                <w:sz w:val="24"/>
              </w:rPr>
              <w:t>法律、法规、政策文件依据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873" w:hRule="atLeast"/>
        </w:trPr>
        <w:tc>
          <w:tcPr>
            <w:tcW w:w="456"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17"/>
              <w:rPr>
                <w:rFonts w:ascii="方正小标宋简体"/>
                <w:sz w:val="16"/>
              </w:rPr>
            </w:pPr>
          </w:p>
          <w:p>
            <w:pPr>
              <w:pStyle w:val="9"/>
              <w:ind w:left="107"/>
              <w:rPr>
                <w:sz w:val="24"/>
              </w:rPr>
            </w:pPr>
            <w:r>
              <w:rPr>
                <w:sz w:val="24"/>
              </w:rPr>
              <w:t>9</w:t>
            </w:r>
          </w:p>
        </w:tc>
        <w:tc>
          <w:tcPr>
            <w:tcW w:w="1920"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3"/>
              <w:rPr>
                <w:rFonts w:ascii="方正小标宋简体"/>
                <w:sz w:val="32"/>
              </w:rPr>
            </w:pPr>
          </w:p>
          <w:p>
            <w:pPr>
              <w:pStyle w:val="9"/>
              <w:spacing w:line="242" w:lineRule="auto"/>
              <w:ind w:left="110" w:right="357"/>
              <w:rPr>
                <w:sz w:val="24"/>
              </w:rPr>
            </w:pPr>
            <w:r>
              <w:rPr>
                <w:sz w:val="24"/>
              </w:rPr>
              <w:t>采购需求不完整、明确</w:t>
            </w:r>
          </w:p>
        </w:tc>
        <w:tc>
          <w:tcPr>
            <w:tcW w:w="4253" w:type="dxa"/>
            <w:tcBorders>
              <w:tl2br w:val="nil"/>
              <w:tr2bl w:val="nil"/>
            </w:tcBorders>
            <w:shd w:val="clear" w:color="auto" w:fill="auto"/>
          </w:tcPr>
          <w:p>
            <w:pPr>
              <w:pStyle w:val="9"/>
              <w:numPr>
                <w:ilvl w:val="0"/>
                <w:numId w:val="5"/>
              </w:numPr>
              <w:tabs>
                <w:tab w:val="left" w:pos="349"/>
              </w:tabs>
              <w:spacing w:before="160" w:after="0" w:line="242" w:lineRule="auto"/>
              <w:ind w:left="107" w:right="96" w:firstLine="0"/>
              <w:jc w:val="left"/>
              <w:rPr>
                <w:sz w:val="24"/>
              </w:rPr>
            </w:pPr>
            <w:r>
              <w:rPr>
                <w:sz w:val="24"/>
              </w:rPr>
              <w:t>未明确采购标的需执行的国家相关</w:t>
            </w:r>
            <w:r>
              <w:rPr>
                <w:spacing w:val="-9"/>
                <w:sz w:val="24"/>
              </w:rPr>
              <w:t>标准、行业标准、地方标准或者其他标</w:t>
            </w:r>
            <w:r>
              <w:rPr>
                <w:sz w:val="24"/>
              </w:rPr>
              <w:t>准、规范；</w:t>
            </w:r>
          </w:p>
          <w:p>
            <w:pPr>
              <w:pStyle w:val="9"/>
              <w:numPr>
                <w:ilvl w:val="0"/>
                <w:numId w:val="5"/>
              </w:numPr>
              <w:tabs>
                <w:tab w:val="left" w:pos="349"/>
              </w:tabs>
              <w:spacing w:before="5" w:after="0" w:line="242" w:lineRule="auto"/>
              <w:ind w:left="107" w:right="293" w:firstLine="0"/>
              <w:jc w:val="left"/>
              <w:rPr>
                <w:sz w:val="24"/>
              </w:rPr>
            </w:pPr>
            <w:r>
              <w:rPr>
                <w:spacing w:val="-2"/>
                <w:sz w:val="24"/>
              </w:rPr>
              <w:t>未明确采购标的需满足的质量、安</w:t>
            </w:r>
            <w:r>
              <w:rPr>
                <w:sz w:val="24"/>
              </w:rPr>
              <w:t>全、技术规格、物理特性等要求；</w:t>
            </w:r>
          </w:p>
          <w:p>
            <w:pPr>
              <w:pStyle w:val="9"/>
              <w:numPr>
                <w:ilvl w:val="0"/>
                <w:numId w:val="5"/>
              </w:numPr>
              <w:tabs>
                <w:tab w:val="left" w:pos="349"/>
              </w:tabs>
              <w:spacing w:before="2" w:after="0" w:line="242" w:lineRule="auto"/>
              <w:ind w:left="107" w:right="96" w:firstLine="0"/>
              <w:jc w:val="left"/>
              <w:rPr>
                <w:sz w:val="24"/>
              </w:rPr>
            </w:pPr>
            <w:r>
              <w:rPr>
                <w:spacing w:val="-5"/>
                <w:sz w:val="24"/>
              </w:rPr>
              <w:t>未明确采购标的的数量、采购项目交</w:t>
            </w:r>
            <w:r>
              <w:rPr>
                <w:sz w:val="24"/>
              </w:rPr>
              <w:t>付或者实施的时间和地点；</w:t>
            </w:r>
          </w:p>
          <w:p>
            <w:pPr>
              <w:pStyle w:val="9"/>
              <w:numPr>
                <w:ilvl w:val="0"/>
                <w:numId w:val="5"/>
              </w:numPr>
              <w:tabs>
                <w:tab w:val="left" w:pos="349"/>
              </w:tabs>
              <w:spacing w:before="3" w:after="0" w:line="242" w:lineRule="auto"/>
              <w:ind w:left="107" w:right="53" w:firstLine="0"/>
              <w:jc w:val="left"/>
              <w:rPr>
                <w:sz w:val="24"/>
              </w:rPr>
            </w:pPr>
            <w:r>
              <w:rPr>
                <w:spacing w:val="-2"/>
                <w:sz w:val="24"/>
              </w:rPr>
              <w:t>未明确采购标的需满足的服务标准、</w:t>
            </w:r>
            <w:r>
              <w:rPr>
                <w:sz w:val="24"/>
              </w:rPr>
              <w:t>期限、效率等要求；</w:t>
            </w:r>
          </w:p>
          <w:p>
            <w:pPr>
              <w:pStyle w:val="9"/>
              <w:numPr>
                <w:ilvl w:val="0"/>
                <w:numId w:val="5"/>
              </w:numPr>
              <w:tabs>
                <w:tab w:val="left" w:pos="349"/>
              </w:tabs>
              <w:spacing w:before="3" w:after="0" w:line="240" w:lineRule="auto"/>
              <w:ind w:left="348" w:right="0" w:hanging="242"/>
              <w:jc w:val="left"/>
              <w:rPr>
                <w:sz w:val="24"/>
              </w:rPr>
            </w:pPr>
            <w:r>
              <w:rPr>
                <w:sz w:val="24"/>
              </w:rPr>
              <w:t>未明确采购标的的验收标准；</w:t>
            </w:r>
          </w:p>
          <w:p>
            <w:pPr>
              <w:pStyle w:val="9"/>
              <w:numPr>
                <w:ilvl w:val="0"/>
                <w:numId w:val="5"/>
              </w:numPr>
              <w:tabs>
                <w:tab w:val="left" w:pos="349"/>
              </w:tabs>
              <w:spacing w:before="5" w:after="0" w:line="242" w:lineRule="auto"/>
              <w:ind w:left="107" w:right="53" w:firstLine="0"/>
              <w:jc w:val="left"/>
              <w:rPr>
                <w:sz w:val="24"/>
              </w:rPr>
            </w:pPr>
            <w:r>
              <w:rPr>
                <w:spacing w:val="-5"/>
                <w:sz w:val="24"/>
              </w:rPr>
              <w:t>非单一产品采购项目，需根据采购项</w:t>
            </w:r>
            <w:r>
              <w:rPr>
                <w:spacing w:val="-9"/>
                <w:sz w:val="24"/>
              </w:rPr>
              <w:t>目技术构成、产品价格比重等合理确定核心产品的，未在招标文件中载明；</w:t>
            </w:r>
          </w:p>
          <w:p>
            <w:pPr>
              <w:pStyle w:val="9"/>
              <w:numPr>
                <w:ilvl w:val="0"/>
                <w:numId w:val="5"/>
              </w:numPr>
              <w:tabs>
                <w:tab w:val="left" w:pos="349"/>
              </w:tabs>
              <w:spacing w:before="5" w:after="0" w:line="242" w:lineRule="auto"/>
              <w:ind w:left="107" w:right="53" w:firstLine="0"/>
              <w:jc w:val="left"/>
              <w:rPr>
                <w:sz w:val="24"/>
              </w:rPr>
            </w:pPr>
            <w:r>
              <w:rPr>
                <w:spacing w:val="-12"/>
                <w:sz w:val="24"/>
              </w:rPr>
              <w:t>要求投标人提供样品的，未在招标文</w:t>
            </w:r>
            <w:r>
              <w:rPr>
                <w:spacing w:val="-13"/>
                <w:sz w:val="24"/>
              </w:rPr>
              <w:t>件中明确规定样品制作的标准和要求</w:t>
            </w:r>
            <w:r>
              <w:rPr>
                <w:rFonts w:hint="eastAsia"/>
                <w:spacing w:val="-13"/>
                <w:sz w:val="24"/>
                <w:lang w:eastAsia="zh-CN"/>
              </w:rPr>
              <w:t>、</w:t>
            </w:r>
            <w:r>
              <w:rPr>
                <w:spacing w:val="-3"/>
                <w:sz w:val="24"/>
              </w:rPr>
              <w:t>是否需要随样品提交相关检测报告、样</w:t>
            </w:r>
            <w:r>
              <w:rPr>
                <w:spacing w:val="-7"/>
                <w:sz w:val="24"/>
              </w:rPr>
              <w:t>品的评审方法以及评审标准。需要随样</w:t>
            </w:r>
            <w:r>
              <w:rPr>
                <w:spacing w:val="-10"/>
                <w:sz w:val="24"/>
              </w:rPr>
              <w:t>品提交检测报告的，未规定检测机构的要求、检测内容等；</w:t>
            </w:r>
          </w:p>
          <w:p>
            <w:pPr>
              <w:pStyle w:val="9"/>
              <w:spacing w:before="12" w:line="242" w:lineRule="auto"/>
              <w:ind w:left="107" w:right="293"/>
              <w:rPr>
                <w:sz w:val="24"/>
              </w:rPr>
            </w:pPr>
            <w:r>
              <w:rPr>
                <w:sz w:val="24"/>
              </w:rPr>
              <w:t>8.未对不允许偏离的实质性要求和条件规定以醒目的方式标注。</w:t>
            </w:r>
          </w:p>
        </w:tc>
        <w:tc>
          <w:tcPr>
            <w:tcW w:w="3687"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7"/>
              <w:rPr>
                <w:rFonts w:ascii="方正小标宋简体"/>
                <w:sz w:val="27"/>
              </w:rPr>
            </w:pPr>
          </w:p>
          <w:p>
            <w:pPr>
              <w:pStyle w:val="9"/>
              <w:spacing w:line="242" w:lineRule="auto"/>
              <w:ind w:left="110" w:right="-29"/>
              <w:rPr>
                <w:sz w:val="24"/>
              </w:rPr>
            </w:pPr>
            <w:r>
              <w:rPr>
                <w:sz w:val="24"/>
              </w:rPr>
              <w:t xml:space="preserve">《中华人民共和国政府采购法实施条例》第十五条；《政府采购货物和服务招标投标管理办法》 </w:t>
            </w:r>
            <w:r>
              <w:rPr>
                <w:spacing w:val="-9"/>
                <w:sz w:val="24"/>
              </w:rPr>
              <w:t xml:space="preserve">(财政部令第 </w:t>
            </w:r>
            <w:r>
              <w:rPr>
                <w:sz w:val="24"/>
              </w:rPr>
              <w:t>87</w:t>
            </w:r>
            <w:r>
              <w:rPr>
                <w:spacing w:val="-9"/>
                <w:sz w:val="24"/>
              </w:rPr>
              <w:t xml:space="preserve"> 号)第十一条、第</w:t>
            </w:r>
            <w:r>
              <w:rPr>
                <w:spacing w:val="-7"/>
                <w:sz w:val="24"/>
              </w:rPr>
              <w:t>二十条、第二十二条和三十一条；</w:t>
            </w:r>
          </w:p>
          <w:p>
            <w:pPr>
              <w:pStyle w:val="9"/>
              <w:spacing w:before="7" w:line="242" w:lineRule="auto"/>
              <w:ind w:left="110" w:right="206"/>
              <w:jc w:val="both"/>
              <w:rPr>
                <w:sz w:val="24"/>
              </w:rPr>
            </w:pPr>
            <w:r>
              <w:rPr>
                <w:sz w:val="24"/>
              </w:rPr>
              <w:t>《财政部关于进一步加强政府采购需求和履约验收管理的指导意见》(财库〔2016〕205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081" w:hRule="atLeast"/>
        </w:trPr>
        <w:tc>
          <w:tcPr>
            <w:tcW w:w="456"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11"/>
              <w:rPr>
                <w:rFonts w:ascii="方正小标宋简体"/>
                <w:sz w:val="18"/>
              </w:rPr>
            </w:pPr>
          </w:p>
          <w:p>
            <w:pPr>
              <w:pStyle w:val="9"/>
              <w:ind w:left="107"/>
              <w:rPr>
                <w:sz w:val="24"/>
              </w:rPr>
            </w:pPr>
            <w:r>
              <w:rPr>
                <w:sz w:val="24"/>
              </w:rPr>
              <w:t>10</w:t>
            </w:r>
          </w:p>
        </w:tc>
        <w:tc>
          <w:tcPr>
            <w:tcW w:w="1920"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4"/>
              <w:rPr>
                <w:rFonts w:ascii="方正小标宋简体"/>
                <w:sz w:val="16"/>
              </w:rPr>
            </w:pPr>
          </w:p>
          <w:p>
            <w:pPr>
              <w:pStyle w:val="9"/>
              <w:spacing w:line="242" w:lineRule="auto"/>
              <w:ind w:left="110" w:right="117"/>
              <w:jc w:val="both"/>
              <w:rPr>
                <w:sz w:val="24"/>
              </w:rPr>
            </w:pPr>
            <w:r>
              <w:rPr>
                <w:sz w:val="24"/>
              </w:rPr>
              <w:t>以不合理的条件对供应商实行差别待遇或者歧视待遇</w:t>
            </w:r>
          </w:p>
        </w:tc>
        <w:tc>
          <w:tcPr>
            <w:tcW w:w="4253" w:type="dxa"/>
            <w:tcBorders>
              <w:tl2br w:val="nil"/>
              <w:tr2bl w:val="nil"/>
            </w:tcBorders>
            <w:shd w:val="clear" w:color="auto" w:fill="auto"/>
          </w:tcPr>
          <w:p>
            <w:pPr>
              <w:pStyle w:val="9"/>
              <w:spacing w:before="2"/>
              <w:rPr>
                <w:rFonts w:ascii="方正小标宋简体"/>
                <w:sz w:val="13"/>
              </w:rPr>
            </w:pPr>
          </w:p>
          <w:p>
            <w:pPr>
              <w:pStyle w:val="9"/>
              <w:numPr>
                <w:ilvl w:val="0"/>
                <w:numId w:val="6"/>
              </w:numPr>
              <w:tabs>
                <w:tab w:val="left" w:pos="349"/>
              </w:tabs>
              <w:spacing w:before="0" w:after="0" w:line="242" w:lineRule="auto"/>
              <w:ind w:left="107" w:right="293" w:firstLine="0"/>
              <w:jc w:val="both"/>
              <w:rPr>
                <w:sz w:val="24"/>
              </w:rPr>
            </w:pPr>
            <w:r>
              <w:rPr>
                <w:spacing w:val="-2"/>
                <w:sz w:val="24"/>
              </w:rPr>
              <w:t>将供应商的所在地作为实质性要求</w:t>
            </w:r>
            <w:r>
              <w:rPr>
                <w:spacing w:val="-1"/>
                <w:sz w:val="24"/>
              </w:rPr>
              <w:t>的，限定注册地(总部)在某行政区域</w:t>
            </w:r>
            <w:r>
              <w:rPr>
                <w:sz w:val="24"/>
              </w:rPr>
              <w:t>内；</w:t>
            </w:r>
          </w:p>
          <w:p>
            <w:pPr>
              <w:pStyle w:val="9"/>
              <w:numPr>
                <w:ilvl w:val="0"/>
                <w:numId w:val="6"/>
              </w:numPr>
              <w:tabs>
                <w:tab w:val="left" w:pos="349"/>
              </w:tabs>
              <w:spacing w:before="4" w:after="0" w:line="242" w:lineRule="auto"/>
              <w:ind w:left="107" w:right="96" w:firstLine="0"/>
              <w:jc w:val="left"/>
              <w:rPr>
                <w:sz w:val="24"/>
              </w:rPr>
            </w:pPr>
            <w:r>
              <w:rPr>
                <w:spacing w:val="-5"/>
                <w:sz w:val="24"/>
              </w:rPr>
              <w:t>限定或者指定特定的专利、商标、品</w:t>
            </w:r>
            <w:r>
              <w:rPr>
                <w:sz w:val="24"/>
              </w:rPr>
              <w:t>牌或者供应商；</w:t>
            </w:r>
          </w:p>
          <w:p>
            <w:pPr>
              <w:pStyle w:val="9"/>
              <w:numPr>
                <w:ilvl w:val="0"/>
                <w:numId w:val="6"/>
              </w:numPr>
              <w:tabs>
                <w:tab w:val="left" w:pos="349"/>
              </w:tabs>
              <w:spacing w:before="3" w:after="0" w:line="242" w:lineRule="auto"/>
              <w:ind w:left="107" w:right="96" w:firstLine="0"/>
              <w:jc w:val="left"/>
              <w:rPr>
                <w:sz w:val="24"/>
              </w:rPr>
            </w:pPr>
            <w:r>
              <w:rPr>
                <w:spacing w:val="-6"/>
                <w:sz w:val="24"/>
              </w:rPr>
              <w:t>采购需求中的技术、服务等要求指向</w:t>
            </w:r>
            <w:r>
              <w:rPr>
                <w:sz w:val="24"/>
              </w:rPr>
              <w:t>特定供应商、特定产品；</w:t>
            </w:r>
          </w:p>
          <w:p>
            <w:pPr>
              <w:pStyle w:val="9"/>
              <w:numPr>
                <w:ilvl w:val="0"/>
                <w:numId w:val="6"/>
              </w:numPr>
              <w:tabs>
                <w:tab w:val="left" w:pos="349"/>
              </w:tabs>
              <w:spacing w:before="3" w:after="0" w:line="242" w:lineRule="auto"/>
              <w:ind w:left="107" w:right="96" w:firstLine="0"/>
              <w:jc w:val="left"/>
              <w:rPr>
                <w:sz w:val="24"/>
              </w:rPr>
            </w:pPr>
            <w:r>
              <w:rPr>
                <w:sz w:val="24"/>
              </w:rPr>
              <w:t>将特定行政区域或者特定行业的业</w:t>
            </w:r>
            <w:r>
              <w:rPr>
                <w:spacing w:val="-8"/>
                <w:sz w:val="24"/>
              </w:rPr>
              <w:t>绩、奖项，特定金额的业绩或代理商的</w:t>
            </w:r>
            <w:r>
              <w:rPr>
                <w:sz w:val="24"/>
              </w:rPr>
              <w:t>业绩作为实质性要求；</w:t>
            </w:r>
          </w:p>
          <w:p>
            <w:pPr>
              <w:pStyle w:val="9"/>
              <w:numPr>
                <w:ilvl w:val="0"/>
                <w:numId w:val="6"/>
              </w:numPr>
              <w:tabs>
                <w:tab w:val="left" w:pos="349"/>
              </w:tabs>
              <w:spacing w:before="4" w:after="0" w:line="242" w:lineRule="auto"/>
              <w:ind w:left="107" w:right="96" w:firstLine="0"/>
              <w:jc w:val="left"/>
              <w:rPr>
                <w:sz w:val="24"/>
              </w:rPr>
            </w:pPr>
            <w:r>
              <w:rPr>
                <w:sz w:val="24"/>
              </w:rPr>
              <w:t>售后服务要求与采购项目无关或超</w:t>
            </w:r>
            <w:r>
              <w:rPr>
                <w:spacing w:val="-8"/>
                <w:sz w:val="24"/>
              </w:rPr>
              <w:t>出服务范围的，售后服务要求明显不合</w:t>
            </w:r>
            <w:r>
              <w:rPr>
                <w:spacing w:val="-6"/>
                <w:sz w:val="24"/>
              </w:rPr>
              <w:t>理或指向特定对象的，要求供应商提供</w:t>
            </w:r>
            <w:r>
              <w:rPr>
                <w:sz w:val="24"/>
              </w:rPr>
              <w:t>售后服务不符合(低于)国家强制标准或行业标准；</w:t>
            </w:r>
          </w:p>
          <w:p>
            <w:pPr>
              <w:pStyle w:val="9"/>
              <w:numPr>
                <w:ilvl w:val="0"/>
                <w:numId w:val="6"/>
              </w:numPr>
              <w:tabs>
                <w:tab w:val="left" w:pos="349"/>
              </w:tabs>
              <w:spacing w:before="7" w:after="0" w:line="242" w:lineRule="auto"/>
              <w:ind w:left="107" w:right="96" w:firstLine="0"/>
              <w:jc w:val="left"/>
              <w:rPr>
                <w:sz w:val="24"/>
              </w:rPr>
            </w:pPr>
            <w:r>
              <w:rPr>
                <w:sz w:val="24"/>
              </w:rPr>
              <w:t>将非订制的采购标的关于重量、尺</w:t>
            </w:r>
            <w:r>
              <w:rPr>
                <w:spacing w:val="-8"/>
                <w:sz w:val="24"/>
              </w:rPr>
              <w:t>寸、体积等要求表述为固定数值，未作</w:t>
            </w:r>
            <w:r>
              <w:rPr>
                <w:sz w:val="24"/>
              </w:rPr>
              <w:t>出大于、小于等表示幅度的表述。</w:t>
            </w:r>
          </w:p>
        </w:tc>
        <w:tc>
          <w:tcPr>
            <w:tcW w:w="3687"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1"/>
              <w:rPr>
                <w:rFonts w:ascii="方正小标宋简体"/>
                <w:sz w:val="25"/>
              </w:rPr>
            </w:pPr>
          </w:p>
          <w:p>
            <w:pPr>
              <w:pStyle w:val="9"/>
              <w:spacing w:line="242" w:lineRule="auto"/>
              <w:ind w:left="110" w:right="206"/>
              <w:jc w:val="both"/>
              <w:rPr>
                <w:sz w:val="24"/>
              </w:rPr>
            </w:pPr>
            <w:r>
              <w:rPr>
                <w:sz w:val="24"/>
              </w:rPr>
              <w:t>《中华人民共和国政府采购法》第二十二条；《中华人民共和国政府采购法实施条例》第二十条</w:t>
            </w:r>
          </w:p>
        </w:tc>
      </w:tr>
    </w:tbl>
    <w:p>
      <w:pPr>
        <w:spacing w:after="0" w:line="242" w:lineRule="auto"/>
        <w:jc w:val="both"/>
        <w:rPr>
          <w:sz w:val="24"/>
        </w:rPr>
        <w:sectPr>
          <w:footerReference r:id="rId5" w:type="default"/>
          <w:pgSz w:w="11910" w:h="16840"/>
          <w:pgMar w:top="1420" w:right="660" w:bottom="1300" w:left="680" w:header="0" w:footer="1117" w:gutter="0"/>
          <w:pgBorders>
            <w:top w:val="none" w:sz="0" w:space="0"/>
            <w:left w:val="none" w:sz="0" w:space="0"/>
            <w:bottom w:val="none" w:sz="0" w:space="0"/>
            <w:right w:val="none" w:sz="0" w:space="0"/>
          </w:pgBorders>
        </w:sectPr>
      </w:pPr>
    </w:p>
    <w:tbl>
      <w:tblPr>
        <w:tblStyle w:val="5"/>
        <w:tblW w:w="1031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56"/>
        <w:gridCol w:w="1920"/>
        <w:gridCol w:w="4253"/>
        <w:gridCol w:w="3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456" w:type="dxa"/>
            <w:tcBorders>
              <w:tl2br w:val="nil"/>
              <w:tr2bl w:val="nil"/>
            </w:tcBorders>
            <w:shd w:val="clear" w:color="auto" w:fill="auto"/>
            <w:vAlign w:val="center"/>
          </w:tcPr>
          <w:p>
            <w:pPr>
              <w:pStyle w:val="9"/>
              <w:ind w:left="107"/>
              <w:rPr>
                <w:rFonts w:hint="eastAsia" w:ascii="黑体" w:eastAsia="黑体"/>
                <w:sz w:val="24"/>
              </w:rPr>
            </w:pPr>
            <w:r>
              <w:rPr>
                <w:rFonts w:hint="eastAsia" w:ascii="黑体" w:eastAsia="黑体"/>
                <w:sz w:val="24"/>
              </w:rPr>
              <w:t>序</w:t>
            </w:r>
          </w:p>
          <w:p>
            <w:pPr>
              <w:pStyle w:val="9"/>
              <w:spacing w:before="4" w:line="292" w:lineRule="exact"/>
              <w:ind w:left="107"/>
              <w:rPr>
                <w:rFonts w:hint="eastAsia" w:ascii="黑体" w:eastAsia="黑体"/>
                <w:sz w:val="24"/>
              </w:rPr>
            </w:pPr>
            <w:r>
              <w:rPr>
                <w:rFonts w:hint="eastAsia" w:ascii="黑体" w:eastAsia="黑体"/>
                <w:sz w:val="24"/>
              </w:rPr>
              <w:t>号</w:t>
            </w:r>
          </w:p>
        </w:tc>
        <w:tc>
          <w:tcPr>
            <w:tcW w:w="1920" w:type="dxa"/>
            <w:tcBorders>
              <w:tl2br w:val="nil"/>
              <w:tr2bl w:val="nil"/>
            </w:tcBorders>
            <w:shd w:val="clear" w:color="auto" w:fill="auto"/>
            <w:vAlign w:val="center"/>
          </w:tcPr>
          <w:p>
            <w:pPr>
              <w:pStyle w:val="9"/>
              <w:spacing w:before="156"/>
              <w:ind w:left="482"/>
              <w:rPr>
                <w:rFonts w:hint="eastAsia" w:ascii="黑体" w:eastAsia="黑体"/>
                <w:sz w:val="24"/>
              </w:rPr>
            </w:pPr>
            <w:r>
              <w:rPr>
                <w:rFonts w:hint="eastAsia" w:ascii="黑体" w:eastAsia="黑体"/>
                <w:sz w:val="24"/>
              </w:rPr>
              <w:t>禁止事项</w:t>
            </w:r>
          </w:p>
        </w:tc>
        <w:tc>
          <w:tcPr>
            <w:tcW w:w="4253" w:type="dxa"/>
            <w:tcBorders>
              <w:tl2br w:val="nil"/>
              <w:tr2bl w:val="nil"/>
            </w:tcBorders>
            <w:shd w:val="clear" w:color="auto" w:fill="auto"/>
            <w:vAlign w:val="center"/>
          </w:tcPr>
          <w:p>
            <w:pPr>
              <w:pStyle w:val="9"/>
              <w:spacing w:before="156"/>
              <w:ind w:left="1626" w:right="1617"/>
              <w:jc w:val="center"/>
              <w:rPr>
                <w:rFonts w:hint="eastAsia" w:ascii="黑体" w:eastAsia="黑体"/>
                <w:sz w:val="24"/>
              </w:rPr>
            </w:pPr>
            <w:r>
              <w:rPr>
                <w:rFonts w:hint="eastAsia" w:ascii="黑体" w:eastAsia="黑体"/>
                <w:sz w:val="24"/>
              </w:rPr>
              <w:t>具体内容</w:t>
            </w:r>
          </w:p>
        </w:tc>
        <w:tc>
          <w:tcPr>
            <w:tcW w:w="3687" w:type="dxa"/>
            <w:tcBorders>
              <w:tl2br w:val="nil"/>
              <w:tr2bl w:val="nil"/>
            </w:tcBorders>
            <w:shd w:val="clear" w:color="auto" w:fill="auto"/>
            <w:vAlign w:val="center"/>
          </w:tcPr>
          <w:p>
            <w:pPr>
              <w:pStyle w:val="9"/>
              <w:spacing w:before="156"/>
              <w:ind w:left="405"/>
              <w:rPr>
                <w:rFonts w:hint="eastAsia" w:ascii="黑体" w:eastAsia="黑体"/>
                <w:sz w:val="24"/>
              </w:rPr>
            </w:pPr>
            <w:r>
              <w:rPr>
                <w:rFonts w:hint="eastAsia" w:ascii="黑体" w:eastAsia="黑体"/>
                <w:sz w:val="24"/>
              </w:rPr>
              <w:t>法律、法规、政策文件依据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32" w:hRule="atLeast"/>
        </w:trPr>
        <w:tc>
          <w:tcPr>
            <w:tcW w:w="456" w:type="dxa"/>
            <w:tcBorders>
              <w:tl2br w:val="nil"/>
              <w:tr2bl w:val="nil"/>
            </w:tcBorders>
            <w:shd w:val="clear" w:color="auto" w:fill="auto"/>
            <w:vAlign w:val="center"/>
          </w:tcPr>
          <w:p>
            <w:pPr>
              <w:pStyle w:val="9"/>
              <w:ind w:left="107"/>
              <w:rPr>
                <w:sz w:val="24"/>
              </w:rPr>
            </w:pPr>
            <w:r>
              <w:rPr>
                <w:sz w:val="24"/>
              </w:rPr>
              <w:t>11</w:t>
            </w:r>
          </w:p>
        </w:tc>
        <w:tc>
          <w:tcPr>
            <w:tcW w:w="1920" w:type="dxa"/>
            <w:tcBorders>
              <w:tl2br w:val="nil"/>
              <w:tr2bl w:val="nil"/>
            </w:tcBorders>
            <w:shd w:val="clear" w:color="auto" w:fill="auto"/>
            <w:vAlign w:val="center"/>
          </w:tcPr>
          <w:p>
            <w:pPr>
              <w:pStyle w:val="9"/>
              <w:spacing w:before="153" w:line="242" w:lineRule="auto"/>
              <w:ind w:left="110" w:right="117"/>
              <w:jc w:val="both"/>
              <w:rPr>
                <w:sz w:val="24"/>
              </w:rPr>
            </w:pPr>
            <w:r>
              <w:rPr>
                <w:sz w:val="24"/>
              </w:rPr>
              <w:t>以其他不合理条件限制或者排斥潜在供应商</w:t>
            </w:r>
          </w:p>
        </w:tc>
        <w:tc>
          <w:tcPr>
            <w:tcW w:w="4253" w:type="dxa"/>
            <w:tcBorders>
              <w:tl2br w:val="nil"/>
              <w:tr2bl w:val="nil"/>
            </w:tcBorders>
            <w:shd w:val="clear" w:color="auto" w:fill="auto"/>
            <w:vAlign w:val="center"/>
          </w:tcPr>
          <w:p>
            <w:pPr>
              <w:pStyle w:val="9"/>
              <w:spacing w:before="206" w:line="285" w:lineRule="exact"/>
              <w:ind w:left="107"/>
              <w:rPr>
                <w:sz w:val="24"/>
              </w:rPr>
            </w:pPr>
            <w:r>
              <w:rPr>
                <w:sz w:val="24"/>
              </w:rPr>
              <w:t>1.设定最低限价；</w:t>
            </w:r>
          </w:p>
          <w:p>
            <w:pPr>
              <w:pStyle w:val="9"/>
              <w:spacing w:line="282" w:lineRule="exact"/>
              <w:ind w:left="107"/>
              <w:rPr>
                <w:sz w:val="24"/>
              </w:rPr>
            </w:pPr>
            <w:r>
              <w:rPr>
                <w:sz w:val="24"/>
              </w:rPr>
              <w:t>2.要求提供赠品、回扣或者与采购无关</w:t>
            </w:r>
          </w:p>
          <w:p>
            <w:pPr>
              <w:pStyle w:val="9"/>
              <w:spacing w:line="305" w:lineRule="exact"/>
              <w:ind w:left="107"/>
              <w:rPr>
                <w:sz w:val="24"/>
              </w:rPr>
            </w:pPr>
            <w:r>
              <w:rPr>
                <w:sz w:val="24"/>
              </w:rPr>
              <w:t>的其他商品、服务；</w:t>
            </w:r>
          </w:p>
          <w:p>
            <w:pPr>
              <w:pStyle w:val="9"/>
              <w:spacing w:before="2" w:line="310" w:lineRule="atLeast"/>
              <w:ind w:left="107" w:right="96"/>
              <w:rPr>
                <w:sz w:val="24"/>
              </w:rPr>
            </w:pPr>
            <w:r>
              <w:rPr>
                <w:sz w:val="24"/>
              </w:rPr>
              <w:t>3.将国务院已明令取消的或国家行政</w:t>
            </w:r>
            <w:r>
              <w:rPr>
                <w:spacing w:val="-6"/>
                <w:sz w:val="24"/>
              </w:rPr>
              <w:t>机关非强制的资质、资格、认证、目录</w:t>
            </w:r>
            <w:r>
              <w:rPr>
                <w:sz w:val="24"/>
              </w:rPr>
              <w:t>等作为实质性要求；</w:t>
            </w:r>
          </w:p>
          <w:p>
            <w:pPr>
              <w:pStyle w:val="9"/>
              <w:spacing w:line="282" w:lineRule="exact"/>
              <w:ind w:left="107"/>
              <w:rPr>
                <w:sz w:val="24"/>
              </w:rPr>
            </w:pPr>
            <w:r>
              <w:rPr>
                <w:sz w:val="24"/>
              </w:rPr>
              <w:t>4.将除进口货物以外生产厂家授权、承</w:t>
            </w:r>
          </w:p>
          <w:p>
            <w:pPr>
              <w:pStyle w:val="9"/>
              <w:spacing w:line="305" w:lineRule="exact"/>
              <w:ind w:left="107"/>
              <w:rPr>
                <w:sz w:val="24"/>
              </w:rPr>
            </w:pPr>
            <w:r>
              <w:rPr>
                <w:sz w:val="24"/>
              </w:rPr>
              <w:t>诺、证明、背书等作为实质性要求。</w:t>
            </w:r>
          </w:p>
        </w:tc>
        <w:tc>
          <w:tcPr>
            <w:tcW w:w="3687" w:type="dxa"/>
            <w:tcBorders>
              <w:tl2br w:val="nil"/>
              <w:tr2bl w:val="nil"/>
            </w:tcBorders>
            <w:shd w:val="clear" w:color="auto" w:fill="auto"/>
            <w:vAlign w:val="center"/>
          </w:tcPr>
          <w:p>
            <w:pPr>
              <w:pStyle w:val="9"/>
              <w:rPr>
                <w:rFonts w:ascii="方正小标宋简体"/>
                <w:sz w:val="24"/>
              </w:rPr>
            </w:pPr>
          </w:p>
          <w:p>
            <w:pPr>
              <w:pStyle w:val="9"/>
              <w:rPr>
                <w:rFonts w:ascii="方正小标宋简体"/>
                <w:sz w:val="14"/>
              </w:rPr>
            </w:pPr>
          </w:p>
          <w:p>
            <w:pPr>
              <w:pStyle w:val="9"/>
              <w:spacing w:line="242" w:lineRule="auto"/>
              <w:ind w:left="110" w:right="50"/>
              <w:rPr>
                <w:sz w:val="24"/>
              </w:rPr>
            </w:pPr>
            <w:r>
              <w:rPr>
                <w:sz w:val="24"/>
              </w:rPr>
              <w:t>《中华人民共和国政府采购法实施条例》第十一条；《政府采购货物和服务招标投标管理办法》(财政部令第 87 号)第十二条、第十七条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86" w:hRule="atLeast"/>
        </w:trPr>
        <w:tc>
          <w:tcPr>
            <w:tcW w:w="10316" w:type="dxa"/>
            <w:gridSpan w:val="4"/>
            <w:tcBorders>
              <w:tl2br w:val="nil"/>
              <w:tr2bl w:val="nil"/>
            </w:tcBorders>
            <w:shd w:val="clear" w:color="auto" w:fill="auto"/>
            <w:vAlign w:val="center"/>
          </w:tcPr>
          <w:p>
            <w:pPr>
              <w:pStyle w:val="9"/>
              <w:tabs>
                <w:tab w:val="left" w:pos="1228"/>
              </w:tabs>
              <w:spacing w:before="164"/>
              <w:ind w:left="107"/>
              <w:rPr>
                <w:rFonts w:hint="eastAsia" w:ascii="黑体" w:hAnsi="黑体" w:eastAsia="黑体"/>
                <w:sz w:val="28"/>
              </w:rPr>
            </w:pPr>
            <w:r>
              <w:rPr>
                <w:rFonts w:hint="eastAsia" w:ascii="黑体" w:hAnsi="黑体" w:eastAsia="黑体"/>
                <w:sz w:val="28"/>
              </w:rPr>
              <w:t>（三）</w:t>
            </w:r>
            <w:r>
              <w:rPr>
                <w:rFonts w:hint="eastAsia" w:ascii="黑体" w:hAnsi="黑体" w:eastAsia="黑体"/>
                <w:sz w:val="28"/>
              </w:rPr>
              <w:tab/>
            </w:r>
            <w:r>
              <w:rPr>
                <w:rFonts w:hint="eastAsia" w:ascii="黑体" w:hAnsi="黑体" w:eastAsia="黑体"/>
                <w:sz w:val="28"/>
              </w:rPr>
              <w:t>评审</w:t>
            </w:r>
            <w:r>
              <w:rPr>
                <w:rFonts w:hint="eastAsia" w:ascii="黑体" w:hAnsi="黑体" w:eastAsia="黑体"/>
                <w:spacing w:val="-3"/>
                <w:sz w:val="28"/>
              </w:rPr>
              <w:t>因素</w:t>
            </w:r>
            <w:r>
              <w:rPr>
                <w:rFonts w:hint="eastAsia" w:ascii="黑体" w:hAnsi="黑体" w:eastAsia="黑体"/>
                <w:sz w:val="28"/>
              </w:rPr>
              <w:t>——适</w:t>
            </w:r>
            <w:r>
              <w:rPr>
                <w:rFonts w:hint="eastAsia" w:ascii="黑体" w:hAnsi="黑体" w:eastAsia="黑体"/>
                <w:spacing w:val="-3"/>
                <w:sz w:val="28"/>
              </w:rPr>
              <w:t>用</w:t>
            </w:r>
            <w:r>
              <w:rPr>
                <w:rFonts w:hint="eastAsia" w:ascii="黑体" w:hAnsi="黑体" w:eastAsia="黑体"/>
                <w:sz w:val="28"/>
              </w:rPr>
              <w:t>主体</w:t>
            </w:r>
            <w:r>
              <w:rPr>
                <w:rFonts w:hint="eastAsia" w:ascii="黑体" w:hAnsi="黑体" w:eastAsia="黑体"/>
                <w:spacing w:val="-3"/>
                <w:sz w:val="28"/>
              </w:rPr>
              <w:t>：采</w:t>
            </w:r>
            <w:r>
              <w:rPr>
                <w:rFonts w:hint="eastAsia" w:ascii="黑体" w:hAnsi="黑体" w:eastAsia="黑体"/>
                <w:sz w:val="28"/>
              </w:rPr>
              <w:t>购人、</w:t>
            </w:r>
            <w:r>
              <w:rPr>
                <w:rFonts w:hint="eastAsia" w:ascii="黑体" w:hAnsi="黑体" w:eastAsia="黑体"/>
                <w:spacing w:val="-3"/>
                <w:sz w:val="28"/>
              </w:rPr>
              <w:t>采</w:t>
            </w:r>
            <w:r>
              <w:rPr>
                <w:rFonts w:hint="eastAsia" w:ascii="黑体" w:hAnsi="黑体" w:eastAsia="黑体"/>
                <w:sz w:val="28"/>
              </w:rPr>
              <w:t>购代</w:t>
            </w:r>
            <w:r>
              <w:rPr>
                <w:rFonts w:hint="eastAsia" w:ascii="黑体" w:hAnsi="黑体" w:eastAsia="黑体"/>
                <w:spacing w:val="-3"/>
                <w:sz w:val="28"/>
              </w:rPr>
              <w:t>理机</w:t>
            </w:r>
            <w:r>
              <w:rPr>
                <w:rFonts w:hint="eastAsia" w:ascii="黑体" w:hAnsi="黑体" w:eastAsia="黑体"/>
                <w:sz w:val="28"/>
              </w:rPr>
              <w:t>构和评</w:t>
            </w:r>
            <w:r>
              <w:rPr>
                <w:rFonts w:hint="eastAsia" w:ascii="黑体" w:hAnsi="黑体" w:eastAsia="黑体"/>
                <w:spacing w:val="-3"/>
                <w:sz w:val="28"/>
              </w:rPr>
              <w:t>审</w:t>
            </w:r>
            <w:r>
              <w:rPr>
                <w:rFonts w:hint="eastAsia" w:ascii="黑体" w:hAnsi="黑体" w:eastAsia="黑体"/>
                <w:sz w:val="28"/>
              </w:rPr>
              <w:t>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714" w:hRule="atLeast"/>
        </w:trPr>
        <w:tc>
          <w:tcPr>
            <w:tcW w:w="456" w:type="dxa"/>
            <w:tcBorders>
              <w:tl2br w:val="nil"/>
              <w:tr2bl w:val="nil"/>
            </w:tcBorders>
            <w:shd w:val="clear" w:color="auto" w:fill="auto"/>
            <w:vAlign w:val="center"/>
          </w:tcPr>
          <w:p>
            <w:pPr>
              <w:pStyle w:val="9"/>
              <w:ind w:left="107"/>
              <w:rPr>
                <w:sz w:val="24"/>
              </w:rPr>
            </w:pPr>
            <w:r>
              <w:rPr>
                <w:sz w:val="24"/>
              </w:rPr>
              <w:t>12</w:t>
            </w:r>
          </w:p>
        </w:tc>
        <w:tc>
          <w:tcPr>
            <w:tcW w:w="1920" w:type="dxa"/>
            <w:tcBorders>
              <w:tl2br w:val="nil"/>
              <w:tr2bl w:val="nil"/>
            </w:tcBorders>
            <w:shd w:val="clear" w:color="auto" w:fill="auto"/>
            <w:vAlign w:val="center"/>
          </w:tcPr>
          <w:p>
            <w:pPr>
              <w:pStyle w:val="9"/>
              <w:spacing w:before="158" w:line="242" w:lineRule="auto"/>
              <w:ind w:left="110" w:right="117"/>
              <w:rPr>
                <w:sz w:val="24"/>
              </w:rPr>
            </w:pPr>
            <w:r>
              <w:rPr>
                <w:sz w:val="24"/>
              </w:rPr>
              <w:t>将资格条件作为评审因素</w:t>
            </w:r>
          </w:p>
        </w:tc>
        <w:tc>
          <w:tcPr>
            <w:tcW w:w="4253" w:type="dxa"/>
            <w:tcBorders>
              <w:tl2br w:val="nil"/>
              <w:tr2bl w:val="nil"/>
            </w:tcBorders>
            <w:shd w:val="clear" w:color="auto" w:fill="auto"/>
            <w:vAlign w:val="center"/>
          </w:tcPr>
          <w:p>
            <w:pPr>
              <w:pStyle w:val="9"/>
              <w:spacing w:before="72" w:line="290" w:lineRule="exact"/>
              <w:ind w:left="107"/>
              <w:rPr>
                <w:sz w:val="24"/>
              </w:rPr>
            </w:pPr>
            <w:r>
              <w:rPr>
                <w:sz w:val="24"/>
              </w:rPr>
              <w:t>1.将供应商资格条件的内容作为评审</w:t>
            </w:r>
          </w:p>
          <w:p>
            <w:pPr>
              <w:pStyle w:val="9"/>
              <w:spacing w:before="2"/>
              <w:ind w:left="107"/>
              <w:rPr>
                <w:sz w:val="24"/>
              </w:rPr>
            </w:pPr>
            <w:r>
              <w:rPr>
                <w:sz w:val="24"/>
              </w:rPr>
              <w:t>因素；</w:t>
            </w:r>
          </w:p>
          <w:p>
            <w:pPr>
              <w:pStyle w:val="9"/>
              <w:spacing w:before="2" w:line="310" w:lineRule="atLeast"/>
              <w:ind w:left="107" w:right="36"/>
              <w:rPr>
                <w:sz w:val="24"/>
              </w:rPr>
            </w:pPr>
            <w:r>
              <w:rPr>
                <w:sz w:val="24"/>
              </w:rPr>
              <w:t>2.《中华人民共和国政府采购法实施条例》第十七条规定的条件作为评审因</w:t>
            </w:r>
          </w:p>
          <w:p>
            <w:pPr>
              <w:pStyle w:val="9"/>
              <w:spacing w:before="2"/>
              <w:ind w:left="107"/>
              <w:rPr>
                <w:sz w:val="24"/>
              </w:rPr>
            </w:pPr>
            <w:r>
              <w:rPr>
                <w:sz w:val="24"/>
              </w:rPr>
              <w:t>素。</w:t>
            </w:r>
          </w:p>
        </w:tc>
        <w:tc>
          <w:tcPr>
            <w:tcW w:w="3687" w:type="dxa"/>
            <w:tcBorders>
              <w:tl2br w:val="nil"/>
              <w:tr2bl w:val="nil"/>
            </w:tcBorders>
            <w:shd w:val="clear" w:color="auto" w:fill="auto"/>
            <w:vAlign w:val="center"/>
          </w:tcPr>
          <w:p>
            <w:pPr>
              <w:pStyle w:val="9"/>
              <w:spacing w:before="2"/>
              <w:ind w:left="110"/>
              <w:rPr>
                <w:sz w:val="24"/>
              </w:rPr>
            </w:pPr>
            <w:r>
              <w:rPr>
                <w:sz w:val="24"/>
              </w:rPr>
              <w:t>《政府采购货物和服务招标投标</w:t>
            </w:r>
          </w:p>
          <w:p>
            <w:pPr>
              <w:pStyle w:val="9"/>
              <w:spacing w:before="2" w:line="310" w:lineRule="atLeast"/>
              <w:ind w:left="110" w:right="94"/>
              <w:rPr>
                <w:sz w:val="24"/>
              </w:rPr>
            </w:pPr>
            <w:r>
              <w:rPr>
                <w:spacing w:val="-7"/>
                <w:sz w:val="24"/>
              </w:rPr>
              <w:t xml:space="preserve">管理办法》(财政部令第 </w:t>
            </w:r>
            <w:r>
              <w:rPr>
                <w:sz w:val="24"/>
              </w:rPr>
              <w:t>87</w:t>
            </w:r>
            <w:r>
              <w:rPr>
                <w:spacing w:val="-20"/>
                <w:sz w:val="24"/>
              </w:rPr>
              <w:t xml:space="preserve"> 号)第</w:t>
            </w:r>
            <w:r>
              <w:rPr>
                <w:sz w:val="24"/>
              </w:rPr>
              <w:t>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87" w:hRule="atLeast"/>
        </w:trPr>
        <w:tc>
          <w:tcPr>
            <w:tcW w:w="456" w:type="dxa"/>
            <w:tcBorders>
              <w:tl2br w:val="nil"/>
              <w:tr2bl w:val="nil"/>
            </w:tcBorders>
            <w:shd w:val="clear" w:color="auto" w:fill="auto"/>
            <w:vAlign w:val="center"/>
          </w:tcPr>
          <w:p>
            <w:pPr>
              <w:pStyle w:val="9"/>
              <w:ind w:left="107"/>
              <w:rPr>
                <w:sz w:val="24"/>
              </w:rPr>
            </w:pPr>
            <w:r>
              <w:rPr>
                <w:sz w:val="24"/>
              </w:rPr>
              <w:t>13</w:t>
            </w:r>
          </w:p>
        </w:tc>
        <w:tc>
          <w:tcPr>
            <w:tcW w:w="1920" w:type="dxa"/>
            <w:tcBorders>
              <w:tl2br w:val="nil"/>
              <w:tr2bl w:val="nil"/>
            </w:tcBorders>
            <w:shd w:val="clear" w:color="auto" w:fill="auto"/>
            <w:vAlign w:val="center"/>
          </w:tcPr>
          <w:p>
            <w:pPr>
              <w:pStyle w:val="9"/>
              <w:spacing w:before="12"/>
              <w:rPr>
                <w:rFonts w:ascii="方正小标宋简体"/>
                <w:sz w:val="17"/>
              </w:rPr>
            </w:pPr>
          </w:p>
          <w:p>
            <w:pPr>
              <w:pStyle w:val="9"/>
              <w:spacing w:line="242" w:lineRule="auto"/>
              <w:ind w:left="110" w:right="117"/>
              <w:rPr>
                <w:sz w:val="24"/>
              </w:rPr>
            </w:pPr>
            <w:r>
              <w:rPr>
                <w:sz w:val="24"/>
              </w:rPr>
              <w:t xml:space="preserve">未按照项目特 </w:t>
            </w:r>
            <w:r>
              <w:rPr>
                <w:spacing w:val="-3"/>
                <w:sz w:val="24"/>
              </w:rPr>
              <w:t>点、采购方式确</w:t>
            </w:r>
            <w:r>
              <w:rPr>
                <w:sz w:val="24"/>
              </w:rPr>
              <w:t>定评分方法</w:t>
            </w:r>
          </w:p>
        </w:tc>
        <w:tc>
          <w:tcPr>
            <w:tcW w:w="4253" w:type="dxa"/>
            <w:tcBorders>
              <w:tl2br w:val="nil"/>
              <w:tr2bl w:val="nil"/>
            </w:tcBorders>
            <w:shd w:val="clear" w:color="auto" w:fill="auto"/>
            <w:vAlign w:val="center"/>
          </w:tcPr>
          <w:p>
            <w:pPr>
              <w:pStyle w:val="9"/>
              <w:numPr>
                <w:ilvl w:val="0"/>
                <w:numId w:val="7"/>
              </w:numPr>
              <w:tabs>
                <w:tab w:val="left" w:pos="349"/>
              </w:tabs>
              <w:spacing w:before="158" w:after="0" w:line="242" w:lineRule="auto"/>
              <w:ind w:left="107" w:right="96" w:firstLine="0"/>
              <w:jc w:val="left"/>
              <w:rPr>
                <w:sz w:val="24"/>
              </w:rPr>
            </w:pPr>
            <w:r>
              <w:rPr>
                <w:spacing w:val="-8"/>
                <w:sz w:val="24"/>
              </w:rPr>
              <w:t>技术、服务等标准统一的货物和服务</w:t>
            </w:r>
            <w:r>
              <w:rPr>
                <w:sz w:val="24"/>
              </w:rPr>
              <w:t>项目，未采用最低评标价法；</w:t>
            </w:r>
          </w:p>
          <w:p>
            <w:pPr>
              <w:pStyle w:val="9"/>
              <w:numPr>
                <w:ilvl w:val="0"/>
                <w:numId w:val="7"/>
              </w:numPr>
              <w:tabs>
                <w:tab w:val="left" w:pos="349"/>
              </w:tabs>
              <w:spacing w:before="3" w:after="0" w:line="242" w:lineRule="auto"/>
              <w:ind w:left="107" w:right="96" w:firstLine="0"/>
              <w:jc w:val="left"/>
              <w:rPr>
                <w:sz w:val="24"/>
              </w:rPr>
            </w:pPr>
            <w:r>
              <w:rPr>
                <w:spacing w:val="-8"/>
                <w:sz w:val="24"/>
              </w:rPr>
              <w:t>竞争性谈判、询价采购采用综合评分</w:t>
            </w:r>
            <w:r>
              <w:rPr>
                <w:sz w:val="24"/>
              </w:rPr>
              <w:t>法。</w:t>
            </w:r>
          </w:p>
        </w:tc>
        <w:tc>
          <w:tcPr>
            <w:tcW w:w="3687" w:type="dxa"/>
            <w:tcBorders>
              <w:tl2br w:val="nil"/>
              <w:tr2bl w:val="nil"/>
            </w:tcBorders>
            <w:shd w:val="clear" w:color="auto" w:fill="auto"/>
            <w:vAlign w:val="center"/>
          </w:tcPr>
          <w:p>
            <w:pPr>
              <w:pStyle w:val="9"/>
              <w:spacing w:before="74" w:line="290" w:lineRule="exact"/>
              <w:ind w:left="110"/>
              <w:rPr>
                <w:sz w:val="24"/>
              </w:rPr>
            </w:pPr>
            <w:r>
              <w:rPr>
                <w:sz w:val="24"/>
              </w:rPr>
              <w:t>《中华人民共和国政府采购法》</w:t>
            </w:r>
          </w:p>
          <w:p>
            <w:pPr>
              <w:pStyle w:val="9"/>
              <w:spacing w:before="2" w:line="290" w:lineRule="exact"/>
              <w:ind w:left="110"/>
              <w:rPr>
                <w:sz w:val="24"/>
              </w:rPr>
            </w:pPr>
            <w:r>
              <w:rPr>
                <w:sz w:val="24"/>
              </w:rPr>
              <w:t>第三十八条、四十条；《中华人</w:t>
            </w:r>
          </w:p>
          <w:p>
            <w:pPr>
              <w:pStyle w:val="9"/>
              <w:spacing w:before="2" w:line="242" w:lineRule="auto"/>
              <w:ind w:left="110" w:right="94"/>
              <w:rPr>
                <w:sz w:val="24"/>
              </w:rPr>
            </w:pPr>
            <w:r>
              <w:rPr>
                <w:sz w:val="24"/>
              </w:rPr>
              <w:t>民共和国政府采购法实施条例》第三十四条；《政府采购货物和</w:t>
            </w:r>
            <w:r>
              <w:rPr>
                <w:spacing w:val="-3"/>
                <w:sz w:val="24"/>
              </w:rPr>
              <w:t>服务招标投标管理办法》(财政部</w:t>
            </w:r>
            <w:r>
              <w:rPr>
                <w:spacing w:val="-20"/>
                <w:sz w:val="24"/>
              </w:rPr>
              <w:t xml:space="preserve">令第 </w:t>
            </w:r>
            <w:r>
              <w:rPr>
                <w:sz w:val="24"/>
              </w:rPr>
              <w:t>87</w:t>
            </w:r>
            <w:r>
              <w:rPr>
                <w:spacing w:val="-8"/>
                <w:sz w:val="24"/>
              </w:rPr>
              <w:t xml:space="preserve"> 号)第五十四条；《政府</w:t>
            </w:r>
          </w:p>
          <w:p>
            <w:pPr>
              <w:pStyle w:val="9"/>
              <w:spacing w:before="6" w:line="290" w:lineRule="exact"/>
              <w:ind w:left="110"/>
              <w:rPr>
                <w:sz w:val="24"/>
              </w:rPr>
            </w:pPr>
            <w:r>
              <w:rPr>
                <w:sz w:val="24"/>
              </w:rPr>
              <w:t>采购非招标采购方式管理办法》</w:t>
            </w:r>
          </w:p>
          <w:p>
            <w:pPr>
              <w:pStyle w:val="9"/>
              <w:spacing w:before="2" w:line="290" w:lineRule="exact"/>
              <w:ind w:left="110"/>
              <w:rPr>
                <w:sz w:val="24"/>
              </w:rPr>
            </w:pPr>
            <w:r>
              <w:rPr>
                <w:spacing w:val="-9"/>
                <w:sz w:val="24"/>
              </w:rPr>
              <w:t xml:space="preserve">(财政部令第 </w:t>
            </w:r>
            <w:r>
              <w:rPr>
                <w:sz w:val="24"/>
              </w:rPr>
              <w:t>74</w:t>
            </w:r>
            <w:r>
              <w:rPr>
                <w:spacing w:val="-8"/>
                <w:sz w:val="24"/>
              </w:rPr>
              <w:t xml:space="preserve"> 号)第三十六条、</w:t>
            </w:r>
          </w:p>
          <w:p>
            <w:pPr>
              <w:pStyle w:val="9"/>
              <w:spacing w:before="2"/>
              <w:ind w:left="110"/>
              <w:rPr>
                <w:sz w:val="24"/>
              </w:rPr>
            </w:pPr>
            <w:r>
              <w:rPr>
                <w:sz w:val="24"/>
              </w:rPr>
              <w:t>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25" w:hRule="atLeast"/>
        </w:trPr>
        <w:tc>
          <w:tcPr>
            <w:tcW w:w="456" w:type="dxa"/>
            <w:tcBorders>
              <w:tl2br w:val="nil"/>
              <w:tr2bl w:val="nil"/>
            </w:tcBorders>
            <w:shd w:val="clear" w:color="auto" w:fill="auto"/>
            <w:vAlign w:val="center"/>
          </w:tcPr>
          <w:p>
            <w:pPr>
              <w:pStyle w:val="9"/>
              <w:spacing w:before="2" w:line="290" w:lineRule="exact"/>
              <w:ind w:left="107"/>
              <w:rPr>
                <w:sz w:val="24"/>
              </w:rPr>
            </w:pPr>
            <w:r>
              <w:rPr>
                <w:sz w:val="24"/>
              </w:rPr>
              <w:t>14</w:t>
            </w:r>
          </w:p>
        </w:tc>
        <w:tc>
          <w:tcPr>
            <w:tcW w:w="1920" w:type="dxa"/>
            <w:tcBorders>
              <w:tl2br w:val="nil"/>
              <w:tr2bl w:val="nil"/>
            </w:tcBorders>
            <w:shd w:val="clear" w:color="auto" w:fill="auto"/>
            <w:vAlign w:val="center"/>
          </w:tcPr>
          <w:p>
            <w:pPr>
              <w:pStyle w:val="9"/>
              <w:spacing w:before="2" w:line="290" w:lineRule="exact"/>
              <w:ind w:left="110"/>
              <w:rPr>
                <w:sz w:val="24"/>
              </w:rPr>
            </w:pPr>
            <w:r>
              <w:rPr>
                <w:sz w:val="24"/>
              </w:rPr>
              <w:t>采用综合评分法</w:t>
            </w:r>
          </w:p>
          <w:p>
            <w:pPr>
              <w:pStyle w:val="9"/>
              <w:spacing w:before="2" w:line="290" w:lineRule="exact"/>
              <w:ind w:left="110"/>
              <w:rPr>
                <w:sz w:val="24"/>
              </w:rPr>
            </w:pPr>
            <w:r>
              <w:rPr>
                <w:sz w:val="24"/>
              </w:rPr>
              <w:t>的，评审因素或</w:t>
            </w:r>
          </w:p>
          <w:p>
            <w:pPr>
              <w:pStyle w:val="9"/>
              <w:spacing w:before="2" w:line="290" w:lineRule="exact"/>
              <w:ind w:left="110"/>
              <w:rPr>
                <w:sz w:val="24"/>
              </w:rPr>
            </w:pPr>
            <w:r>
              <w:rPr>
                <w:sz w:val="24"/>
              </w:rPr>
              <w:t>者评审标准没有</w:t>
            </w:r>
          </w:p>
          <w:p>
            <w:pPr>
              <w:pStyle w:val="9"/>
              <w:spacing w:before="2" w:line="290" w:lineRule="exact"/>
              <w:ind w:left="110"/>
              <w:rPr>
                <w:sz w:val="24"/>
              </w:rPr>
            </w:pPr>
            <w:r>
              <w:rPr>
                <w:sz w:val="24"/>
              </w:rPr>
              <w:t>细化和量化，且</w:t>
            </w:r>
          </w:p>
          <w:p>
            <w:pPr>
              <w:pStyle w:val="9"/>
              <w:spacing w:before="2" w:line="290" w:lineRule="exact"/>
              <w:ind w:left="110"/>
              <w:rPr>
                <w:sz w:val="24"/>
              </w:rPr>
            </w:pPr>
            <w:r>
              <w:rPr>
                <w:sz w:val="24"/>
              </w:rPr>
              <w:t>与相应的商务条</w:t>
            </w:r>
          </w:p>
          <w:p>
            <w:pPr>
              <w:pStyle w:val="9"/>
              <w:spacing w:before="2" w:line="290" w:lineRule="exact"/>
              <w:ind w:left="110"/>
              <w:rPr>
                <w:sz w:val="24"/>
              </w:rPr>
            </w:pPr>
            <w:r>
              <w:rPr>
                <w:sz w:val="24"/>
              </w:rPr>
              <w:t>件和采购需求不</w:t>
            </w:r>
          </w:p>
          <w:p>
            <w:pPr>
              <w:pStyle w:val="9"/>
              <w:spacing w:before="2" w:line="290" w:lineRule="exact"/>
              <w:ind w:left="110"/>
              <w:rPr>
                <w:sz w:val="24"/>
              </w:rPr>
            </w:pPr>
            <w:r>
              <w:rPr>
                <w:sz w:val="24"/>
              </w:rPr>
              <w:t>相对应</w:t>
            </w:r>
          </w:p>
        </w:tc>
        <w:tc>
          <w:tcPr>
            <w:tcW w:w="4253" w:type="dxa"/>
            <w:tcBorders>
              <w:tl2br w:val="nil"/>
              <w:tr2bl w:val="nil"/>
            </w:tcBorders>
            <w:shd w:val="clear" w:color="auto" w:fill="auto"/>
            <w:vAlign w:val="center"/>
          </w:tcPr>
          <w:p>
            <w:pPr>
              <w:pStyle w:val="9"/>
              <w:spacing w:before="139" w:line="290" w:lineRule="exact"/>
              <w:ind w:left="107" w:right="-29"/>
              <w:rPr>
                <w:sz w:val="24"/>
              </w:rPr>
            </w:pPr>
            <w:r>
              <w:rPr>
                <w:sz w:val="24"/>
              </w:rPr>
              <w:t>1.</w:t>
            </w:r>
            <w:r>
              <w:rPr>
                <w:spacing w:val="-14"/>
                <w:sz w:val="24"/>
              </w:rPr>
              <w:t>采用综合评分法的，使用“优”“良”</w:t>
            </w:r>
          </w:p>
          <w:p>
            <w:pPr>
              <w:pStyle w:val="9"/>
              <w:spacing w:before="2" w:line="290" w:lineRule="exact"/>
              <w:ind w:left="107"/>
              <w:rPr>
                <w:sz w:val="24"/>
              </w:rPr>
            </w:pPr>
            <w:r>
              <w:rPr>
                <w:sz w:val="24"/>
              </w:rPr>
              <w:t>“中”“一般”等容易引起歧义的表述</w:t>
            </w:r>
          </w:p>
          <w:p>
            <w:pPr>
              <w:pStyle w:val="9"/>
              <w:spacing w:before="2" w:line="290" w:lineRule="exact"/>
              <w:ind w:left="107"/>
              <w:rPr>
                <w:sz w:val="24"/>
              </w:rPr>
            </w:pPr>
            <w:r>
              <w:rPr>
                <w:sz w:val="24"/>
              </w:rPr>
              <w:t>时，未明确判断标准；或者评审因素的</w:t>
            </w:r>
          </w:p>
          <w:p>
            <w:pPr>
              <w:pStyle w:val="9"/>
              <w:spacing w:before="2" w:line="290" w:lineRule="exact"/>
              <w:ind w:left="107"/>
              <w:rPr>
                <w:sz w:val="24"/>
              </w:rPr>
            </w:pPr>
            <w:r>
              <w:rPr>
                <w:sz w:val="24"/>
              </w:rPr>
              <w:t>指标量化为区间的，评审标准的分值未</w:t>
            </w:r>
          </w:p>
          <w:p>
            <w:pPr>
              <w:pStyle w:val="9"/>
              <w:spacing w:before="2" w:line="290" w:lineRule="exact"/>
              <w:ind w:left="107"/>
              <w:rPr>
                <w:sz w:val="24"/>
              </w:rPr>
            </w:pPr>
            <w:r>
              <w:rPr>
                <w:sz w:val="24"/>
              </w:rPr>
              <w:t>量化到区间；</w:t>
            </w:r>
          </w:p>
          <w:p>
            <w:pPr>
              <w:pStyle w:val="9"/>
              <w:spacing w:before="2" w:line="290" w:lineRule="exact"/>
              <w:ind w:left="107"/>
              <w:rPr>
                <w:sz w:val="24"/>
              </w:rPr>
            </w:pPr>
            <w:r>
              <w:rPr>
                <w:sz w:val="24"/>
              </w:rPr>
              <w:t>2.提出“优于(或负偏离)”招标文件技</w:t>
            </w:r>
          </w:p>
          <w:p>
            <w:pPr>
              <w:pStyle w:val="9"/>
              <w:spacing w:before="2" w:line="290" w:lineRule="exact"/>
              <w:ind w:left="107"/>
              <w:rPr>
                <w:sz w:val="24"/>
              </w:rPr>
            </w:pPr>
            <w:r>
              <w:rPr>
                <w:sz w:val="24"/>
              </w:rPr>
              <w:t>术、服务要求的可加(减)分，但未量化</w:t>
            </w:r>
          </w:p>
          <w:p>
            <w:pPr>
              <w:pStyle w:val="9"/>
              <w:spacing w:before="2" w:line="290" w:lineRule="exact"/>
              <w:ind w:left="107"/>
              <w:rPr>
                <w:sz w:val="24"/>
              </w:rPr>
            </w:pPr>
            <w:r>
              <w:rPr>
                <w:sz w:val="24"/>
              </w:rPr>
              <w:t>具体加(减)分标准；</w:t>
            </w:r>
          </w:p>
          <w:p>
            <w:pPr>
              <w:pStyle w:val="9"/>
              <w:spacing w:before="2" w:line="290" w:lineRule="exact"/>
              <w:ind w:left="107"/>
              <w:rPr>
                <w:sz w:val="24"/>
              </w:rPr>
            </w:pPr>
            <w:r>
              <w:rPr>
                <w:sz w:val="24"/>
              </w:rPr>
              <w:t>3.以“知名”“一线”“同档次”“国</w:t>
            </w:r>
          </w:p>
          <w:p>
            <w:pPr>
              <w:pStyle w:val="9"/>
              <w:spacing w:before="2" w:line="290" w:lineRule="exact"/>
              <w:ind w:left="107"/>
              <w:rPr>
                <w:sz w:val="24"/>
              </w:rPr>
            </w:pPr>
            <w:r>
              <w:rPr>
                <w:sz w:val="24"/>
              </w:rPr>
              <w:t>产品牌”“国际品牌”，等不明确的语</w:t>
            </w:r>
          </w:p>
          <w:p>
            <w:pPr>
              <w:pStyle w:val="9"/>
              <w:spacing w:before="2" w:line="290" w:lineRule="exact"/>
              <w:ind w:left="107"/>
              <w:rPr>
                <w:sz w:val="24"/>
              </w:rPr>
            </w:pPr>
            <w:r>
              <w:rPr>
                <w:sz w:val="24"/>
              </w:rPr>
              <w:t>言表述非量化指标或标准作为评审因</w:t>
            </w:r>
          </w:p>
          <w:p>
            <w:pPr>
              <w:pStyle w:val="9"/>
              <w:spacing w:before="2" w:line="290" w:lineRule="exact"/>
              <w:ind w:left="107"/>
              <w:rPr>
                <w:sz w:val="24"/>
              </w:rPr>
            </w:pPr>
            <w:r>
              <w:rPr>
                <w:sz w:val="24"/>
              </w:rPr>
              <w:t>素；</w:t>
            </w:r>
          </w:p>
          <w:p>
            <w:pPr>
              <w:pStyle w:val="9"/>
              <w:spacing w:before="2" w:line="290" w:lineRule="exact"/>
              <w:ind w:left="107"/>
              <w:rPr>
                <w:sz w:val="24"/>
              </w:rPr>
            </w:pPr>
            <w:r>
              <w:rPr>
                <w:sz w:val="24"/>
              </w:rPr>
              <w:t>4.采用综合评分法的，将未在采购需求</w:t>
            </w:r>
          </w:p>
          <w:p>
            <w:pPr>
              <w:pStyle w:val="9"/>
              <w:spacing w:before="2" w:line="290" w:lineRule="exact"/>
              <w:ind w:left="107"/>
              <w:rPr>
                <w:sz w:val="24"/>
              </w:rPr>
            </w:pPr>
            <w:r>
              <w:rPr>
                <w:sz w:val="24"/>
              </w:rPr>
              <w:t>中列明的技术参数、产品功能、商务条</w:t>
            </w:r>
          </w:p>
          <w:p>
            <w:pPr>
              <w:pStyle w:val="9"/>
              <w:spacing w:before="2"/>
              <w:ind w:left="107"/>
              <w:rPr>
                <w:sz w:val="24"/>
              </w:rPr>
            </w:pPr>
            <w:r>
              <w:rPr>
                <w:sz w:val="24"/>
              </w:rPr>
              <w:t>件等作为评审因素。</w:t>
            </w:r>
          </w:p>
        </w:tc>
        <w:tc>
          <w:tcPr>
            <w:tcW w:w="3687" w:type="dxa"/>
            <w:tcBorders>
              <w:tl2br w:val="nil"/>
              <w:tr2bl w:val="nil"/>
            </w:tcBorders>
            <w:shd w:val="clear" w:color="auto" w:fill="auto"/>
            <w:vAlign w:val="center"/>
          </w:tcPr>
          <w:p>
            <w:pPr>
              <w:pStyle w:val="9"/>
              <w:spacing w:before="2" w:line="290" w:lineRule="exact"/>
              <w:ind w:left="110"/>
              <w:rPr>
                <w:sz w:val="24"/>
              </w:rPr>
            </w:pPr>
            <w:r>
              <w:rPr>
                <w:sz w:val="24"/>
              </w:rPr>
              <w:t>《中华人民共和国政府采购法实</w:t>
            </w:r>
          </w:p>
          <w:p>
            <w:pPr>
              <w:pStyle w:val="9"/>
              <w:spacing w:before="2" w:line="290" w:lineRule="exact"/>
              <w:ind w:left="110"/>
              <w:rPr>
                <w:sz w:val="24"/>
              </w:rPr>
            </w:pPr>
            <w:r>
              <w:rPr>
                <w:sz w:val="24"/>
              </w:rPr>
              <w:t>施条例》第三十四条、第六十八</w:t>
            </w:r>
          </w:p>
          <w:p>
            <w:pPr>
              <w:pStyle w:val="9"/>
              <w:spacing w:before="2" w:line="290" w:lineRule="exact"/>
              <w:ind w:left="110"/>
              <w:rPr>
                <w:sz w:val="24"/>
              </w:rPr>
            </w:pPr>
            <w:r>
              <w:rPr>
                <w:sz w:val="24"/>
              </w:rPr>
              <w:t>条；《政府采购货物和服务招标</w:t>
            </w:r>
          </w:p>
          <w:p>
            <w:pPr>
              <w:pStyle w:val="9"/>
              <w:spacing w:before="2" w:line="290" w:lineRule="exact"/>
              <w:ind w:left="110"/>
              <w:rPr>
                <w:sz w:val="24"/>
              </w:rPr>
            </w:pPr>
            <w:r>
              <w:rPr>
                <w:sz w:val="24"/>
              </w:rPr>
              <w:t>投标管理办法》(财政部令第 87</w:t>
            </w:r>
          </w:p>
          <w:p>
            <w:pPr>
              <w:pStyle w:val="9"/>
              <w:spacing w:before="2" w:line="290" w:lineRule="exact"/>
              <w:ind w:left="110"/>
              <w:rPr>
                <w:sz w:val="24"/>
              </w:rPr>
            </w:pPr>
            <w:r>
              <w:rPr>
                <w:sz w:val="24"/>
              </w:rPr>
              <w:t>号)第五十五条</w:t>
            </w:r>
          </w:p>
        </w:tc>
      </w:tr>
    </w:tbl>
    <w:p>
      <w:pPr>
        <w:spacing w:after="0"/>
        <w:rPr>
          <w:rFonts w:ascii="Times New Roman"/>
          <w:sz w:val="24"/>
        </w:rPr>
        <w:sectPr>
          <w:footerReference r:id="rId6" w:type="default"/>
          <w:pgSz w:w="11910" w:h="16840"/>
          <w:pgMar w:top="1420" w:right="660" w:bottom="1300" w:left="680" w:header="0" w:footer="1117" w:gutter="0"/>
          <w:pgBorders>
            <w:top w:val="none" w:sz="0" w:space="0"/>
            <w:left w:val="none" w:sz="0" w:space="0"/>
            <w:bottom w:val="none" w:sz="0" w:space="0"/>
            <w:right w:val="none" w:sz="0" w:space="0"/>
          </w:pgBorders>
        </w:sectPr>
      </w:pPr>
    </w:p>
    <w:tbl>
      <w:tblPr>
        <w:tblStyle w:val="5"/>
        <w:tblW w:w="1031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56"/>
        <w:gridCol w:w="1920"/>
        <w:gridCol w:w="4253"/>
        <w:gridCol w:w="3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456" w:type="dxa"/>
            <w:tcBorders>
              <w:tl2br w:val="nil"/>
              <w:tr2bl w:val="nil"/>
            </w:tcBorders>
            <w:shd w:val="clear" w:color="auto" w:fill="auto"/>
          </w:tcPr>
          <w:p>
            <w:pPr>
              <w:pStyle w:val="9"/>
              <w:ind w:left="107"/>
              <w:rPr>
                <w:rFonts w:hint="eastAsia" w:ascii="黑体" w:eastAsia="黑体"/>
                <w:sz w:val="24"/>
              </w:rPr>
            </w:pPr>
            <w:r>
              <w:rPr>
                <w:rFonts w:hint="eastAsia" w:ascii="黑体" w:eastAsia="黑体"/>
                <w:sz w:val="24"/>
              </w:rPr>
              <w:t>序</w:t>
            </w:r>
          </w:p>
          <w:p>
            <w:pPr>
              <w:pStyle w:val="9"/>
              <w:spacing w:before="4" w:line="292" w:lineRule="exact"/>
              <w:ind w:left="107"/>
              <w:rPr>
                <w:rFonts w:hint="eastAsia" w:ascii="黑体" w:eastAsia="黑体"/>
                <w:sz w:val="24"/>
              </w:rPr>
            </w:pPr>
            <w:r>
              <w:rPr>
                <w:rFonts w:hint="eastAsia" w:ascii="黑体" w:eastAsia="黑体"/>
                <w:sz w:val="24"/>
              </w:rPr>
              <w:t>号</w:t>
            </w:r>
          </w:p>
        </w:tc>
        <w:tc>
          <w:tcPr>
            <w:tcW w:w="1920" w:type="dxa"/>
            <w:tcBorders>
              <w:tl2br w:val="nil"/>
              <w:tr2bl w:val="nil"/>
            </w:tcBorders>
            <w:shd w:val="clear" w:color="auto" w:fill="auto"/>
          </w:tcPr>
          <w:p>
            <w:pPr>
              <w:pStyle w:val="9"/>
              <w:spacing w:before="156"/>
              <w:ind w:left="482"/>
              <w:rPr>
                <w:rFonts w:hint="eastAsia" w:ascii="黑体" w:eastAsia="黑体"/>
                <w:sz w:val="24"/>
              </w:rPr>
            </w:pPr>
            <w:r>
              <w:rPr>
                <w:rFonts w:hint="eastAsia" w:ascii="黑体" w:eastAsia="黑体"/>
                <w:sz w:val="24"/>
              </w:rPr>
              <w:t>禁止事项</w:t>
            </w:r>
          </w:p>
        </w:tc>
        <w:tc>
          <w:tcPr>
            <w:tcW w:w="4253" w:type="dxa"/>
            <w:tcBorders>
              <w:tl2br w:val="nil"/>
              <w:tr2bl w:val="nil"/>
            </w:tcBorders>
            <w:shd w:val="clear" w:color="auto" w:fill="auto"/>
          </w:tcPr>
          <w:p>
            <w:pPr>
              <w:pStyle w:val="9"/>
              <w:spacing w:before="156"/>
              <w:ind w:left="1626" w:right="1617"/>
              <w:jc w:val="center"/>
              <w:rPr>
                <w:rFonts w:hint="eastAsia" w:ascii="黑体" w:eastAsia="黑体"/>
                <w:sz w:val="24"/>
              </w:rPr>
            </w:pPr>
            <w:r>
              <w:rPr>
                <w:rFonts w:hint="eastAsia" w:ascii="黑体" w:eastAsia="黑体"/>
                <w:sz w:val="24"/>
              </w:rPr>
              <w:t>具体内容</w:t>
            </w:r>
          </w:p>
        </w:tc>
        <w:tc>
          <w:tcPr>
            <w:tcW w:w="3687" w:type="dxa"/>
            <w:tcBorders>
              <w:tl2br w:val="nil"/>
              <w:tr2bl w:val="nil"/>
            </w:tcBorders>
            <w:shd w:val="clear" w:color="auto" w:fill="auto"/>
          </w:tcPr>
          <w:p>
            <w:pPr>
              <w:pStyle w:val="9"/>
              <w:spacing w:before="156"/>
              <w:ind w:left="405"/>
              <w:rPr>
                <w:rFonts w:hint="eastAsia" w:ascii="黑体" w:eastAsia="黑体"/>
                <w:sz w:val="24"/>
              </w:rPr>
            </w:pPr>
            <w:r>
              <w:rPr>
                <w:rFonts w:hint="eastAsia" w:ascii="黑体" w:eastAsia="黑体"/>
                <w:sz w:val="24"/>
              </w:rPr>
              <w:t>法律、法规、政策文件依据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9" w:hRule="atLeast"/>
        </w:trPr>
        <w:tc>
          <w:tcPr>
            <w:tcW w:w="456"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rPr>
                <w:rFonts w:ascii="方正小标宋简体"/>
                <w:sz w:val="29"/>
              </w:rPr>
            </w:pPr>
          </w:p>
          <w:p>
            <w:pPr>
              <w:pStyle w:val="9"/>
              <w:ind w:left="107"/>
              <w:rPr>
                <w:sz w:val="24"/>
              </w:rPr>
            </w:pPr>
            <w:r>
              <w:rPr>
                <w:sz w:val="24"/>
              </w:rPr>
              <w:t>15</w:t>
            </w:r>
          </w:p>
        </w:tc>
        <w:tc>
          <w:tcPr>
            <w:tcW w:w="1920"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11"/>
              <w:rPr>
                <w:rFonts w:ascii="方正小标宋简体"/>
                <w:sz w:val="26"/>
              </w:rPr>
            </w:pPr>
          </w:p>
          <w:p>
            <w:pPr>
              <w:pStyle w:val="9"/>
              <w:spacing w:line="242" w:lineRule="auto"/>
              <w:ind w:left="110" w:right="117"/>
              <w:jc w:val="both"/>
              <w:rPr>
                <w:sz w:val="24"/>
              </w:rPr>
            </w:pPr>
            <w:r>
              <w:rPr>
                <w:sz w:val="24"/>
              </w:rPr>
              <w:t>评审因素的设定对供应商实行差别待遇或歧视待遇</w:t>
            </w:r>
          </w:p>
        </w:tc>
        <w:tc>
          <w:tcPr>
            <w:tcW w:w="4253" w:type="dxa"/>
            <w:tcBorders>
              <w:tl2br w:val="nil"/>
              <w:tr2bl w:val="nil"/>
            </w:tcBorders>
            <w:shd w:val="clear" w:color="auto" w:fill="auto"/>
          </w:tcPr>
          <w:p>
            <w:pPr>
              <w:pStyle w:val="9"/>
              <w:numPr>
                <w:ilvl w:val="0"/>
                <w:numId w:val="8"/>
              </w:numPr>
              <w:tabs>
                <w:tab w:val="left" w:pos="349"/>
              </w:tabs>
              <w:spacing w:before="36" w:after="0" w:line="242" w:lineRule="auto"/>
              <w:ind w:left="107" w:right="53" w:firstLine="0"/>
              <w:jc w:val="both"/>
              <w:rPr>
                <w:sz w:val="24"/>
              </w:rPr>
            </w:pPr>
            <w:r>
              <w:rPr>
                <w:spacing w:val="-2"/>
                <w:sz w:val="24"/>
              </w:rPr>
              <w:t>将注册资本、资产总额、营业收入、</w:t>
            </w:r>
            <w:r>
              <w:rPr>
                <w:spacing w:val="-8"/>
                <w:sz w:val="24"/>
              </w:rPr>
              <w:t>从业人员、利润、纳税额等规模条件作为评审因素；</w:t>
            </w:r>
          </w:p>
          <w:p>
            <w:pPr>
              <w:pStyle w:val="9"/>
              <w:numPr>
                <w:ilvl w:val="0"/>
                <w:numId w:val="8"/>
              </w:numPr>
              <w:tabs>
                <w:tab w:val="left" w:pos="349"/>
              </w:tabs>
              <w:spacing w:before="4" w:after="0" w:line="242" w:lineRule="auto"/>
              <w:ind w:left="107" w:right="96" w:firstLine="0"/>
              <w:jc w:val="both"/>
              <w:rPr>
                <w:sz w:val="24"/>
              </w:rPr>
            </w:pPr>
            <w:r>
              <w:rPr>
                <w:spacing w:val="-6"/>
                <w:sz w:val="24"/>
              </w:rPr>
              <w:t>将第三方</w:t>
            </w:r>
            <w:r>
              <w:rPr>
                <w:sz w:val="24"/>
              </w:rPr>
              <w:t>（非行政机关</w:t>
            </w:r>
            <w:r>
              <w:rPr>
                <w:spacing w:val="-22"/>
                <w:sz w:val="24"/>
              </w:rPr>
              <w:t>）</w:t>
            </w:r>
            <w:r>
              <w:rPr>
                <w:spacing w:val="-4"/>
                <w:sz w:val="24"/>
              </w:rPr>
              <w:t>调查统计的</w:t>
            </w:r>
            <w:r>
              <w:rPr>
                <w:spacing w:val="-5"/>
                <w:sz w:val="24"/>
              </w:rPr>
              <w:t>产品市场占有率及排名、企业排名、用</w:t>
            </w:r>
            <w:r>
              <w:rPr>
                <w:sz w:val="24"/>
              </w:rPr>
              <w:t>户评价排名等作为评审因素；</w:t>
            </w:r>
          </w:p>
          <w:p>
            <w:pPr>
              <w:pStyle w:val="9"/>
              <w:numPr>
                <w:ilvl w:val="0"/>
                <w:numId w:val="8"/>
              </w:numPr>
              <w:tabs>
                <w:tab w:val="left" w:pos="349"/>
              </w:tabs>
              <w:spacing w:before="2" w:after="0" w:line="240" w:lineRule="auto"/>
              <w:ind w:left="348" w:right="0" w:hanging="242"/>
              <w:jc w:val="left"/>
              <w:rPr>
                <w:sz w:val="24"/>
              </w:rPr>
            </w:pPr>
            <w:r>
              <w:rPr>
                <w:sz w:val="24"/>
              </w:rPr>
              <w:t>提出进口产品或配件加分；</w:t>
            </w:r>
          </w:p>
          <w:p>
            <w:pPr>
              <w:pStyle w:val="9"/>
              <w:numPr>
                <w:ilvl w:val="0"/>
                <w:numId w:val="8"/>
              </w:numPr>
              <w:tabs>
                <w:tab w:val="left" w:pos="349"/>
              </w:tabs>
              <w:spacing w:before="4" w:after="0" w:line="242" w:lineRule="auto"/>
              <w:ind w:left="107" w:right="96" w:firstLine="0"/>
              <w:jc w:val="left"/>
              <w:rPr>
                <w:sz w:val="24"/>
              </w:rPr>
            </w:pPr>
            <w:r>
              <w:rPr>
                <w:sz w:val="24"/>
              </w:rPr>
              <w:t>以特定行政区域或者特定行业的业</w:t>
            </w:r>
            <w:r>
              <w:rPr>
                <w:spacing w:val="-8"/>
                <w:sz w:val="24"/>
              </w:rPr>
              <w:t>绩、奖项作为加分条件或者中标、成交</w:t>
            </w:r>
            <w:r>
              <w:rPr>
                <w:sz w:val="24"/>
              </w:rPr>
              <w:t>条件；</w:t>
            </w:r>
          </w:p>
          <w:p>
            <w:pPr>
              <w:pStyle w:val="9"/>
              <w:numPr>
                <w:ilvl w:val="0"/>
                <w:numId w:val="8"/>
              </w:numPr>
              <w:tabs>
                <w:tab w:val="left" w:pos="349"/>
              </w:tabs>
              <w:spacing w:before="4" w:after="0" w:line="242" w:lineRule="auto"/>
              <w:ind w:left="107" w:right="96" w:firstLine="0"/>
              <w:jc w:val="left"/>
              <w:rPr>
                <w:sz w:val="24"/>
              </w:rPr>
            </w:pPr>
            <w:r>
              <w:rPr>
                <w:spacing w:val="-5"/>
                <w:sz w:val="24"/>
              </w:rPr>
              <w:t>以限定或者指定的专利、商标、品牌</w:t>
            </w:r>
            <w:r>
              <w:rPr>
                <w:sz w:val="24"/>
              </w:rPr>
              <w:t>或者供应商作为加分条件；</w:t>
            </w:r>
          </w:p>
          <w:p>
            <w:pPr>
              <w:pStyle w:val="9"/>
              <w:numPr>
                <w:ilvl w:val="0"/>
                <w:numId w:val="8"/>
              </w:numPr>
              <w:tabs>
                <w:tab w:val="left" w:pos="349"/>
              </w:tabs>
              <w:spacing w:before="3" w:after="0" w:line="242" w:lineRule="auto"/>
              <w:ind w:left="107" w:right="96" w:firstLine="0"/>
              <w:jc w:val="both"/>
              <w:rPr>
                <w:sz w:val="24"/>
              </w:rPr>
            </w:pPr>
            <w:r>
              <w:rPr>
                <w:spacing w:val="-6"/>
                <w:sz w:val="24"/>
              </w:rPr>
              <w:t>将供应商提供赠品、给予回扣或者与采购无关的其他商品、服务作为加分条</w:t>
            </w:r>
            <w:r>
              <w:rPr>
                <w:sz w:val="24"/>
              </w:rPr>
              <w:t>件；</w:t>
            </w:r>
          </w:p>
        </w:tc>
        <w:tc>
          <w:tcPr>
            <w:tcW w:w="3687"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15"/>
              <w:rPr>
                <w:rFonts w:ascii="方正小标宋简体"/>
                <w:sz w:val="17"/>
              </w:rPr>
            </w:pPr>
          </w:p>
          <w:p>
            <w:pPr>
              <w:pStyle w:val="9"/>
              <w:spacing w:line="242" w:lineRule="auto"/>
              <w:ind w:left="110" w:right="206"/>
              <w:rPr>
                <w:sz w:val="24"/>
              </w:rPr>
            </w:pPr>
            <w:r>
              <w:rPr>
                <w:sz w:val="24"/>
              </w:rPr>
              <w:t>《中华人民共和国政府采购法实施条例》第十一条、第二十条；</w:t>
            </w:r>
          </w:p>
          <w:p>
            <w:pPr>
              <w:pStyle w:val="9"/>
              <w:spacing w:before="3" w:line="242" w:lineRule="auto"/>
              <w:ind w:left="110" w:right="94"/>
              <w:rPr>
                <w:sz w:val="24"/>
              </w:rPr>
            </w:pPr>
            <w:r>
              <w:rPr>
                <w:sz w:val="24"/>
              </w:rPr>
              <w:t>《政府采购货物和服务招标投标</w:t>
            </w:r>
            <w:r>
              <w:rPr>
                <w:spacing w:val="-7"/>
                <w:sz w:val="24"/>
              </w:rPr>
              <w:t xml:space="preserve">管理办法》(财政部令第 </w:t>
            </w:r>
            <w:r>
              <w:rPr>
                <w:sz w:val="24"/>
              </w:rPr>
              <w:t>87</w:t>
            </w:r>
            <w:r>
              <w:rPr>
                <w:spacing w:val="-20"/>
                <w:sz w:val="24"/>
              </w:rPr>
              <w:t xml:space="preserve"> 号)第</w:t>
            </w:r>
            <w:r>
              <w:rPr>
                <w:sz w:val="24"/>
              </w:rPr>
              <w:t>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1" w:hRule="atLeast"/>
        </w:trPr>
        <w:tc>
          <w:tcPr>
            <w:tcW w:w="456"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rPr>
                <w:rFonts w:ascii="方正小标宋简体"/>
                <w:sz w:val="24"/>
              </w:rPr>
            </w:pPr>
          </w:p>
          <w:p>
            <w:pPr>
              <w:pStyle w:val="9"/>
              <w:spacing w:before="16"/>
              <w:rPr>
                <w:rFonts w:ascii="方正小标宋简体"/>
                <w:sz w:val="15"/>
              </w:rPr>
            </w:pPr>
          </w:p>
          <w:p>
            <w:pPr>
              <w:pStyle w:val="9"/>
              <w:spacing w:before="1"/>
              <w:ind w:left="107"/>
              <w:rPr>
                <w:sz w:val="24"/>
              </w:rPr>
            </w:pPr>
            <w:r>
              <w:rPr>
                <w:sz w:val="24"/>
              </w:rPr>
              <w:t>16</w:t>
            </w:r>
          </w:p>
        </w:tc>
        <w:tc>
          <w:tcPr>
            <w:tcW w:w="1920"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spacing w:before="2"/>
              <w:rPr>
                <w:rFonts w:ascii="方正小标宋简体"/>
                <w:sz w:val="31"/>
              </w:rPr>
            </w:pPr>
          </w:p>
          <w:p>
            <w:pPr>
              <w:pStyle w:val="9"/>
              <w:spacing w:line="242" w:lineRule="auto"/>
              <w:ind w:left="110" w:right="117"/>
              <w:rPr>
                <w:sz w:val="24"/>
              </w:rPr>
            </w:pPr>
            <w:r>
              <w:rPr>
                <w:sz w:val="24"/>
              </w:rPr>
              <w:t>未按规定，采用综合评分法评审</w:t>
            </w:r>
          </w:p>
        </w:tc>
        <w:tc>
          <w:tcPr>
            <w:tcW w:w="4253" w:type="dxa"/>
            <w:tcBorders>
              <w:tl2br w:val="nil"/>
              <w:tr2bl w:val="nil"/>
            </w:tcBorders>
            <w:shd w:val="clear" w:color="auto" w:fill="auto"/>
          </w:tcPr>
          <w:p>
            <w:pPr>
              <w:pStyle w:val="9"/>
              <w:numPr>
                <w:ilvl w:val="0"/>
                <w:numId w:val="9"/>
              </w:numPr>
              <w:tabs>
                <w:tab w:val="left" w:pos="349"/>
              </w:tabs>
              <w:spacing w:before="0" w:after="0" w:line="242" w:lineRule="auto"/>
              <w:ind w:left="107" w:right="96" w:firstLine="0"/>
              <w:jc w:val="left"/>
              <w:rPr>
                <w:sz w:val="24"/>
              </w:rPr>
            </w:pPr>
            <w:r>
              <w:rPr>
                <w:spacing w:val="-4"/>
                <w:sz w:val="24"/>
              </w:rPr>
              <w:t>公开招标项目采用综合评分法的，货</w:t>
            </w:r>
            <w:r>
              <w:rPr>
                <w:sz w:val="24"/>
              </w:rPr>
              <w:t>物项目的价格分值占总分值的比重低</w:t>
            </w:r>
            <w:r>
              <w:rPr>
                <w:position w:val="1"/>
                <w:sz w:val="24"/>
              </w:rPr>
              <w:t>于</w:t>
            </w:r>
            <w:r>
              <w:rPr>
                <w:spacing w:val="-59"/>
                <w:position w:val="1"/>
                <w:sz w:val="24"/>
              </w:rPr>
              <w:t xml:space="preserve"> </w:t>
            </w:r>
            <w:r>
              <w:rPr>
                <w:spacing w:val="2"/>
                <w:position w:val="1"/>
                <w:sz w:val="24"/>
              </w:rPr>
              <w:t>30</w:t>
            </w:r>
            <w:r>
              <w:rPr>
                <w:spacing w:val="5"/>
                <w:sz w:val="24"/>
              </w:rPr>
              <w:drawing>
                <wp:inline distT="0" distB="0" distL="0" distR="0">
                  <wp:extent cx="66675" cy="1174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1" cstate="print"/>
                          <a:stretch>
                            <a:fillRect/>
                          </a:stretch>
                        </pic:blipFill>
                        <pic:spPr>
                          <a:xfrm>
                            <a:off x="0" y="0"/>
                            <a:ext cx="66675" cy="117475"/>
                          </a:xfrm>
                          <a:prstGeom prst="rect">
                            <a:avLst/>
                          </a:prstGeom>
                        </pic:spPr>
                      </pic:pic>
                    </a:graphicData>
                  </a:graphic>
                </wp:inline>
              </w:drawing>
            </w:r>
            <w:r>
              <w:rPr>
                <w:position w:val="1"/>
                <w:sz w:val="24"/>
              </w:rPr>
              <w:t>,服务项目的价格分值占总分值</w:t>
            </w:r>
            <w:r>
              <w:rPr>
                <w:spacing w:val="-10"/>
                <w:sz w:val="24"/>
              </w:rPr>
              <w:t>的比重低于</w:t>
            </w:r>
            <w:r>
              <w:rPr>
                <w:sz w:val="24"/>
              </w:rPr>
              <w:t>10％</w:t>
            </w:r>
            <w:bookmarkStart w:id="1" w:name="_GoBack"/>
            <w:bookmarkEnd w:id="1"/>
            <w:r>
              <w:rPr>
                <w:sz w:val="24"/>
              </w:rPr>
              <w:t>；</w:t>
            </w:r>
          </w:p>
          <w:p>
            <w:pPr>
              <w:pStyle w:val="9"/>
              <w:numPr>
                <w:ilvl w:val="0"/>
                <w:numId w:val="9"/>
              </w:numPr>
              <w:tabs>
                <w:tab w:val="left" w:pos="349"/>
              </w:tabs>
              <w:spacing w:before="5" w:after="0" w:line="242" w:lineRule="auto"/>
              <w:ind w:left="107" w:right="53" w:firstLine="0"/>
              <w:jc w:val="left"/>
              <w:rPr>
                <w:sz w:val="24"/>
              </w:rPr>
            </w:pPr>
            <w:r>
              <w:rPr>
                <w:spacing w:val="-2"/>
                <w:sz w:val="24"/>
              </w:rPr>
              <w:t xml:space="preserve">竞争性磋商项目采用综合评分法的， </w:t>
            </w:r>
            <w:r>
              <w:rPr>
                <w:sz w:val="24"/>
              </w:rPr>
              <w:t xml:space="preserve">货物项目的价格分值占总分值的比重 </w:t>
            </w:r>
            <w:r>
              <w:rPr>
                <w:spacing w:val="-20"/>
                <w:sz w:val="24"/>
              </w:rPr>
              <w:t xml:space="preserve">不在 </w:t>
            </w:r>
            <w:r>
              <w:rPr>
                <w:sz w:val="24"/>
              </w:rPr>
              <w:t>30％</w:t>
            </w:r>
            <w:r>
              <w:rPr>
                <w:spacing w:val="-30"/>
                <w:sz w:val="24"/>
              </w:rPr>
              <w:t xml:space="preserve">至 </w:t>
            </w:r>
            <w:r>
              <w:rPr>
                <w:sz w:val="24"/>
              </w:rPr>
              <w:t>60％区间，服务项目的价</w:t>
            </w:r>
            <w:r>
              <w:rPr>
                <w:spacing w:val="-5"/>
                <w:sz w:val="24"/>
              </w:rPr>
              <w:t xml:space="preserve">格分值占总分值的比重不在 </w:t>
            </w:r>
            <w:r>
              <w:rPr>
                <w:sz w:val="24"/>
              </w:rPr>
              <w:t>10％至30％区间；</w:t>
            </w:r>
          </w:p>
          <w:p>
            <w:pPr>
              <w:pStyle w:val="9"/>
              <w:numPr>
                <w:ilvl w:val="0"/>
                <w:numId w:val="9"/>
              </w:numPr>
              <w:tabs>
                <w:tab w:val="left" w:pos="349"/>
              </w:tabs>
              <w:spacing w:before="5" w:after="0" w:line="310" w:lineRule="atLeast"/>
              <w:ind w:left="107" w:right="96" w:firstLine="0"/>
              <w:jc w:val="left"/>
              <w:rPr>
                <w:sz w:val="24"/>
              </w:rPr>
            </w:pPr>
            <w:r>
              <w:rPr>
                <w:spacing w:val="-6"/>
                <w:sz w:val="24"/>
              </w:rPr>
              <w:t>采用综合评分法的，价格分计算方式</w:t>
            </w:r>
            <w:r>
              <w:rPr>
                <w:sz w:val="24"/>
              </w:rPr>
              <w:t>违规；</w:t>
            </w:r>
          </w:p>
        </w:tc>
        <w:tc>
          <w:tcPr>
            <w:tcW w:w="3687" w:type="dxa"/>
            <w:tcBorders>
              <w:tl2br w:val="nil"/>
              <w:tr2bl w:val="nil"/>
            </w:tcBorders>
            <w:shd w:val="clear" w:color="auto" w:fill="auto"/>
          </w:tcPr>
          <w:p>
            <w:pPr>
              <w:pStyle w:val="9"/>
              <w:rPr>
                <w:rFonts w:ascii="方正小标宋简体"/>
                <w:sz w:val="24"/>
              </w:rPr>
            </w:pPr>
          </w:p>
          <w:p>
            <w:pPr>
              <w:pStyle w:val="9"/>
              <w:spacing w:before="13"/>
              <w:rPr>
                <w:rFonts w:ascii="方正小标宋简体"/>
                <w:sz w:val="28"/>
              </w:rPr>
            </w:pPr>
          </w:p>
          <w:p>
            <w:pPr>
              <w:pStyle w:val="9"/>
              <w:spacing w:line="242" w:lineRule="auto"/>
              <w:ind w:left="110" w:right="94"/>
              <w:rPr>
                <w:sz w:val="24"/>
              </w:rPr>
            </w:pPr>
            <w:r>
              <w:rPr>
                <w:sz w:val="24"/>
              </w:rPr>
              <w:t>《政府采购货物和服务招标投标</w:t>
            </w:r>
            <w:r>
              <w:rPr>
                <w:spacing w:val="-7"/>
                <w:sz w:val="24"/>
              </w:rPr>
              <w:t xml:space="preserve">管理办法》(财政部令第 </w:t>
            </w:r>
            <w:r>
              <w:rPr>
                <w:sz w:val="24"/>
              </w:rPr>
              <w:t>87</w:t>
            </w:r>
            <w:r>
              <w:rPr>
                <w:spacing w:val="-20"/>
                <w:sz w:val="24"/>
              </w:rPr>
              <w:t xml:space="preserve"> 号)第</w:t>
            </w:r>
            <w:r>
              <w:rPr>
                <w:sz w:val="24"/>
              </w:rPr>
              <w:t>五十五条；《政府采购竞争性磋</w:t>
            </w:r>
            <w:r>
              <w:rPr>
                <w:spacing w:val="-3"/>
                <w:sz w:val="24"/>
              </w:rPr>
              <w:t>商采购方式管理暂行办法》(财政</w:t>
            </w:r>
            <w:r>
              <w:rPr>
                <w:spacing w:val="-20"/>
                <w:sz w:val="24"/>
              </w:rPr>
              <w:t xml:space="preserve">部第 </w:t>
            </w:r>
            <w:r>
              <w:rPr>
                <w:sz w:val="24"/>
              </w:rPr>
              <w:t>214</w:t>
            </w:r>
            <w:r>
              <w:rPr>
                <w:spacing w:val="-8"/>
                <w:sz w:val="24"/>
              </w:rPr>
              <w:t xml:space="preserve"> 号令)第二十四条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0" w:hRule="atLeast"/>
        </w:trPr>
        <w:tc>
          <w:tcPr>
            <w:tcW w:w="456" w:type="dxa"/>
            <w:tcBorders>
              <w:tl2br w:val="nil"/>
              <w:tr2bl w:val="nil"/>
            </w:tcBorders>
            <w:shd w:val="clear" w:color="auto" w:fill="auto"/>
          </w:tcPr>
          <w:p>
            <w:pPr>
              <w:pStyle w:val="9"/>
              <w:rPr>
                <w:rFonts w:ascii="方正小标宋简体"/>
                <w:sz w:val="24"/>
              </w:rPr>
            </w:pPr>
          </w:p>
          <w:p>
            <w:pPr>
              <w:pStyle w:val="9"/>
              <w:spacing w:before="11"/>
              <w:rPr>
                <w:rFonts w:ascii="方正小标宋简体"/>
                <w:sz w:val="25"/>
              </w:rPr>
            </w:pPr>
          </w:p>
          <w:p>
            <w:pPr>
              <w:pStyle w:val="9"/>
              <w:ind w:left="107"/>
              <w:rPr>
                <w:sz w:val="24"/>
              </w:rPr>
            </w:pPr>
            <w:r>
              <w:rPr>
                <w:sz w:val="24"/>
              </w:rPr>
              <w:t>17</w:t>
            </w:r>
          </w:p>
        </w:tc>
        <w:tc>
          <w:tcPr>
            <w:tcW w:w="1920" w:type="dxa"/>
            <w:tcBorders>
              <w:tl2br w:val="nil"/>
              <w:tr2bl w:val="nil"/>
            </w:tcBorders>
            <w:shd w:val="clear" w:color="auto" w:fill="auto"/>
          </w:tcPr>
          <w:p>
            <w:pPr>
              <w:pStyle w:val="9"/>
              <w:spacing w:before="1"/>
              <w:rPr>
                <w:rFonts w:ascii="方正小标宋简体"/>
                <w:sz w:val="32"/>
              </w:rPr>
            </w:pPr>
          </w:p>
          <w:p>
            <w:pPr>
              <w:pStyle w:val="9"/>
              <w:spacing w:line="242" w:lineRule="auto"/>
              <w:ind w:left="110" w:right="117"/>
              <w:jc w:val="both"/>
              <w:rPr>
                <w:sz w:val="24"/>
              </w:rPr>
            </w:pPr>
            <w:r>
              <w:rPr>
                <w:sz w:val="24"/>
              </w:rPr>
              <w:t>样品评审未规定评审方法及评审标准</w:t>
            </w:r>
          </w:p>
        </w:tc>
        <w:tc>
          <w:tcPr>
            <w:tcW w:w="4253" w:type="dxa"/>
            <w:tcBorders>
              <w:tl2br w:val="nil"/>
              <w:tr2bl w:val="nil"/>
            </w:tcBorders>
            <w:shd w:val="clear" w:color="auto" w:fill="auto"/>
          </w:tcPr>
          <w:p>
            <w:pPr>
              <w:pStyle w:val="9"/>
              <w:numPr>
                <w:ilvl w:val="0"/>
                <w:numId w:val="10"/>
              </w:numPr>
              <w:tabs>
                <w:tab w:val="left" w:pos="349"/>
              </w:tabs>
              <w:spacing w:before="100" w:after="0" w:line="242" w:lineRule="auto"/>
              <w:ind w:left="107" w:right="96" w:firstLine="0"/>
              <w:jc w:val="both"/>
              <w:rPr>
                <w:sz w:val="24"/>
              </w:rPr>
            </w:pPr>
            <w:r>
              <w:rPr>
                <w:spacing w:val="-7"/>
                <w:sz w:val="24"/>
              </w:rPr>
              <w:t>要求提供样品的，未在招标文件中明</w:t>
            </w:r>
            <w:r>
              <w:rPr>
                <w:spacing w:val="-5"/>
                <w:sz w:val="24"/>
              </w:rPr>
              <w:t>确规定样品制作的标准和要求、是否需</w:t>
            </w:r>
            <w:r>
              <w:rPr>
                <w:spacing w:val="-7"/>
                <w:sz w:val="24"/>
              </w:rPr>
              <w:t>要提供检测报告、样品的评审方法及评</w:t>
            </w:r>
            <w:r>
              <w:rPr>
                <w:sz w:val="24"/>
              </w:rPr>
              <w:t>审标准；</w:t>
            </w:r>
          </w:p>
          <w:p>
            <w:pPr>
              <w:pStyle w:val="9"/>
              <w:numPr>
                <w:ilvl w:val="0"/>
                <w:numId w:val="10"/>
              </w:numPr>
              <w:tabs>
                <w:tab w:val="left" w:pos="349"/>
              </w:tabs>
              <w:spacing w:before="6" w:after="0" w:line="242" w:lineRule="auto"/>
              <w:ind w:left="107" w:right="96" w:firstLine="0"/>
              <w:jc w:val="left"/>
              <w:rPr>
                <w:sz w:val="24"/>
              </w:rPr>
            </w:pPr>
            <w:r>
              <w:rPr>
                <w:spacing w:val="-5"/>
                <w:sz w:val="24"/>
              </w:rPr>
              <w:t>需要随样品提交检测报告的，未规定</w:t>
            </w:r>
            <w:r>
              <w:rPr>
                <w:sz w:val="24"/>
              </w:rPr>
              <w:t>检测机构的要求、检测内容等。</w:t>
            </w:r>
          </w:p>
        </w:tc>
        <w:tc>
          <w:tcPr>
            <w:tcW w:w="3687" w:type="dxa"/>
            <w:tcBorders>
              <w:tl2br w:val="nil"/>
              <w:tr2bl w:val="nil"/>
            </w:tcBorders>
            <w:shd w:val="clear" w:color="auto" w:fill="auto"/>
          </w:tcPr>
          <w:p>
            <w:pPr>
              <w:pStyle w:val="9"/>
              <w:spacing w:before="1"/>
              <w:rPr>
                <w:rFonts w:ascii="方正小标宋简体"/>
                <w:sz w:val="32"/>
              </w:rPr>
            </w:pPr>
          </w:p>
          <w:p>
            <w:pPr>
              <w:pStyle w:val="9"/>
              <w:spacing w:line="242" w:lineRule="auto"/>
              <w:ind w:left="110" w:right="94"/>
              <w:rPr>
                <w:sz w:val="24"/>
              </w:rPr>
            </w:pPr>
            <w:r>
              <w:rPr>
                <w:sz w:val="24"/>
              </w:rPr>
              <w:t>《政府采购货物和服务招标投标</w:t>
            </w:r>
            <w:r>
              <w:rPr>
                <w:spacing w:val="-7"/>
                <w:sz w:val="24"/>
              </w:rPr>
              <w:t xml:space="preserve">管理办法》(财政部令第 </w:t>
            </w:r>
            <w:r>
              <w:rPr>
                <w:sz w:val="24"/>
              </w:rPr>
              <w:t>87</w:t>
            </w:r>
            <w:r>
              <w:rPr>
                <w:spacing w:val="-20"/>
                <w:sz w:val="24"/>
              </w:rPr>
              <w:t xml:space="preserve"> 号)第</w:t>
            </w:r>
            <w:r>
              <w:rPr>
                <w:sz w:val="24"/>
              </w:rPr>
              <w:t>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6" w:hRule="atLeast"/>
        </w:trPr>
        <w:tc>
          <w:tcPr>
            <w:tcW w:w="456"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spacing w:before="14"/>
              <w:rPr>
                <w:rFonts w:ascii="方正小标宋简体"/>
                <w:sz w:val="26"/>
              </w:rPr>
            </w:pPr>
          </w:p>
          <w:p>
            <w:pPr>
              <w:pStyle w:val="9"/>
              <w:ind w:left="107"/>
              <w:rPr>
                <w:sz w:val="24"/>
              </w:rPr>
            </w:pPr>
            <w:r>
              <w:rPr>
                <w:sz w:val="24"/>
              </w:rPr>
              <w:t>18</w:t>
            </w:r>
          </w:p>
        </w:tc>
        <w:tc>
          <w:tcPr>
            <w:tcW w:w="1920" w:type="dxa"/>
            <w:tcBorders>
              <w:tl2br w:val="nil"/>
              <w:tr2bl w:val="nil"/>
            </w:tcBorders>
            <w:shd w:val="clear" w:color="auto" w:fill="auto"/>
          </w:tcPr>
          <w:p>
            <w:pPr>
              <w:pStyle w:val="9"/>
              <w:rPr>
                <w:rFonts w:ascii="方正小标宋简体"/>
                <w:sz w:val="24"/>
              </w:rPr>
            </w:pPr>
          </w:p>
          <w:p>
            <w:pPr>
              <w:pStyle w:val="9"/>
              <w:spacing w:before="4"/>
              <w:rPr>
                <w:rFonts w:ascii="方正小标宋简体"/>
                <w:sz w:val="33"/>
              </w:rPr>
            </w:pPr>
          </w:p>
          <w:p>
            <w:pPr>
              <w:pStyle w:val="9"/>
              <w:spacing w:line="242" w:lineRule="auto"/>
              <w:ind w:left="110" w:right="117"/>
              <w:jc w:val="both"/>
              <w:rPr>
                <w:sz w:val="24"/>
              </w:rPr>
            </w:pPr>
            <w:r>
              <w:rPr>
                <w:sz w:val="24"/>
              </w:rPr>
              <w:t>未按规定确定同品牌投标人的计算方法</w:t>
            </w:r>
          </w:p>
        </w:tc>
        <w:tc>
          <w:tcPr>
            <w:tcW w:w="4253" w:type="dxa"/>
            <w:tcBorders>
              <w:tl2br w:val="nil"/>
              <w:tr2bl w:val="nil"/>
            </w:tcBorders>
            <w:shd w:val="clear" w:color="auto" w:fill="auto"/>
          </w:tcPr>
          <w:p>
            <w:pPr>
              <w:pStyle w:val="9"/>
              <w:numPr>
                <w:ilvl w:val="0"/>
                <w:numId w:val="11"/>
              </w:numPr>
              <w:tabs>
                <w:tab w:val="left" w:pos="349"/>
              </w:tabs>
              <w:spacing w:before="79" w:after="0" w:line="242" w:lineRule="auto"/>
              <w:ind w:left="107" w:right="96" w:firstLine="0"/>
              <w:jc w:val="left"/>
              <w:rPr>
                <w:sz w:val="24"/>
              </w:rPr>
            </w:pPr>
            <w:r>
              <w:rPr>
                <w:spacing w:val="-5"/>
                <w:sz w:val="24"/>
              </w:rPr>
              <w:t>采用最低评标价法的采购项目，提供</w:t>
            </w:r>
            <w:r>
              <w:rPr>
                <w:sz w:val="24"/>
              </w:rPr>
              <w:t>相同品牌产品的不同投标人参加同一</w:t>
            </w:r>
            <w:r>
              <w:rPr>
                <w:spacing w:val="-7"/>
                <w:sz w:val="24"/>
              </w:rPr>
              <w:t>合同项下投标的，未按法律规定的方法</w:t>
            </w:r>
            <w:r>
              <w:rPr>
                <w:sz w:val="24"/>
              </w:rPr>
              <w:t>确定一个参加评标的投标人；</w:t>
            </w:r>
          </w:p>
          <w:p>
            <w:pPr>
              <w:pStyle w:val="9"/>
              <w:numPr>
                <w:ilvl w:val="0"/>
                <w:numId w:val="11"/>
              </w:numPr>
              <w:tabs>
                <w:tab w:val="left" w:pos="349"/>
              </w:tabs>
              <w:spacing w:before="5" w:after="0" w:line="242" w:lineRule="auto"/>
              <w:ind w:left="107" w:right="53" w:firstLine="0"/>
              <w:jc w:val="left"/>
              <w:rPr>
                <w:sz w:val="24"/>
              </w:rPr>
            </w:pPr>
            <w:r>
              <w:rPr>
                <w:spacing w:val="-4"/>
                <w:sz w:val="24"/>
              </w:rPr>
              <w:t xml:space="preserve">采用综合评分法的采购项目，提供相同品牌产品的不同投标人参加同一合 </w:t>
            </w:r>
            <w:r>
              <w:rPr>
                <w:spacing w:val="-5"/>
                <w:sz w:val="24"/>
              </w:rPr>
              <w:t xml:space="preserve">同项下投标的，未按一家投标人计算， </w:t>
            </w:r>
            <w:r>
              <w:rPr>
                <w:sz w:val="24"/>
              </w:rPr>
              <w:t>未按法律规定的方法确定一个投标人 获得中标人推荐资格。</w:t>
            </w:r>
          </w:p>
        </w:tc>
        <w:tc>
          <w:tcPr>
            <w:tcW w:w="3687" w:type="dxa"/>
            <w:tcBorders>
              <w:tl2br w:val="nil"/>
              <w:tr2bl w:val="nil"/>
            </w:tcBorders>
            <w:shd w:val="clear" w:color="auto" w:fill="auto"/>
          </w:tcPr>
          <w:p>
            <w:pPr>
              <w:pStyle w:val="9"/>
              <w:rPr>
                <w:rFonts w:ascii="方正小标宋简体"/>
                <w:sz w:val="24"/>
              </w:rPr>
            </w:pPr>
          </w:p>
          <w:p>
            <w:pPr>
              <w:pStyle w:val="9"/>
              <w:spacing w:before="4"/>
              <w:rPr>
                <w:rFonts w:ascii="方正小标宋简体"/>
                <w:sz w:val="33"/>
              </w:rPr>
            </w:pPr>
          </w:p>
          <w:p>
            <w:pPr>
              <w:pStyle w:val="9"/>
              <w:spacing w:line="242" w:lineRule="auto"/>
              <w:ind w:left="110" w:right="94"/>
              <w:rPr>
                <w:sz w:val="24"/>
              </w:rPr>
            </w:pPr>
            <w:r>
              <w:rPr>
                <w:sz w:val="24"/>
              </w:rPr>
              <w:t>《政府采购货物和服务招标投标</w:t>
            </w:r>
            <w:r>
              <w:rPr>
                <w:spacing w:val="-7"/>
                <w:sz w:val="24"/>
              </w:rPr>
              <w:t xml:space="preserve">管理办法》(财政部令第 </w:t>
            </w:r>
            <w:r>
              <w:rPr>
                <w:sz w:val="24"/>
              </w:rPr>
              <w:t>87</w:t>
            </w:r>
            <w:r>
              <w:rPr>
                <w:spacing w:val="-20"/>
                <w:sz w:val="24"/>
              </w:rPr>
              <w:t xml:space="preserve"> 号)第</w:t>
            </w:r>
            <w:r>
              <w:rPr>
                <w:sz w:val="24"/>
              </w:rPr>
              <w:t>三十一条</w:t>
            </w:r>
          </w:p>
        </w:tc>
      </w:tr>
    </w:tbl>
    <w:p>
      <w:pPr>
        <w:spacing w:after="0" w:line="242" w:lineRule="auto"/>
        <w:rPr>
          <w:sz w:val="24"/>
        </w:rPr>
        <w:sectPr>
          <w:footerReference r:id="rId7" w:type="default"/>
          <w:pgSz w:w="11910" w:h="16840"/>
          <w:pgMar w:top="1420" w:right="660" w:bottom="1300" w:left="680" w:header="0" w:footer="1117" w:gutter="0"/>
          <w:pgBorders>
            <w:top w:val="none" w:sz="0" w:space="0"/>
            <w:left w:val="none" w:sz="0" w:space="0"/>
            <w:bottom w:val="none" w:sz="0" w:space="0"/>
            <w:right w:val="none" w:sz="0" w:space="0"/>
          </w:pgBorders>
        </w:sectPr>
      </w:pPr>
    </w:p>
    <w:tbl>
      <w:tblPr>
        <w:tblStyle w:val="5"/>
        <w:tblW w:w="1031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56"/>
        <w:gridCol w:w="1920"/>
        <w:gridCol w:w="4253"/>
        <w:gridCol w:w="3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456" w:type="dxa"/>
            <w:tcBorders>
              <w:tl2br w:val="nil"/>
              <w:tr2bl w:val="nil"/>
            </w:tcBorders>
            <w:shd w:val="clear" w:color="auto" w:fill="auto"/>
          </w:tcPr>
          <w:p>
            <w:pPr>
              <w:pStyle w:val="9"/>
              <w:ind w:left="107"/>
              <w:rPr>
                <w:rFonts w:hint="eastAsia" w:ascii="黑体" w:eastAsia="黑体"/>
                <w:sz w:val="24"/>
              </w:rPr>
            </w:pPr>
            <w:r>
              <w:rPr>
                <w:rFonts w:hint="eastAsia" w:ascii="黑体" w:eastAsia="黑体"/>
                <w:sz w:val="24"/>
              </w:rPr>
              <w:t>序</w:t>
            </w:r>
          </w:p>
          <w:p>
            <w:pPr>
              <w:pStyle w:val="9"/>
              <w:spacing w:before="4" w:line="292" w:lineRule="exact"/>
              <w:ind w:left="107"/>
              <w:rPr>
                <w:rFonts w:hint="eastAsia" w:ascii="黑体" w:eastAsia="黑体"/>
                <w:sz w:val="24"/>
              </w:rPr>
            </w:pPr>
            <w:r>
              <w:rPr>
                <w:rFonts w:hint="eastAsia" w:ascii="黑体" w:eastAsia="黑体"/>
                <w:sz w:val="24"/>
              </w:rPr>
              <w:t>号</w:t>
            </w:r>
          </w:p>
        </w:tc>
        <w:tc>
          <w:tcPr>
            <w:tcW w:w="1920" w:type="dxa"/>
            <w:tcBorders>
              <w:tl2br w:val="nil"/>
              <w:tr2bl w:val="nil"/>
            </w:tcBorders>
            <w:shd w:val="clear" w:color="auto" w:fill="auto"/>
          </w:tcPr>
          <w:p>
            <w:pPr>
              <w:pStyle w:val="9"/>
              <w:spacing w:before="156"/>
              <w:ind w:left="482"/>
              <w:rPr>
                <w:rFonts w:hint="eastAsia" w:ascii="黑体" w:eastAsia="黑体"/>
                <w:sz w:val="24"/>
              </w:rPr>
            </w:pPr>
            <w:r>
              <w:rPr>
                <w:rFonts w:hint="eastAsia" w:ascii="黑体" w:eastAsia="黑体"/>
                <w:sz w:val="24"/>
              </w:rPr>
              <w:t>禁止事项</w:t>
            </w:r>
          </w:p>
        </w:tc>
        <w:tc>
          <w:tcPr>
            <w:tcW w:w="4253" w:type="dxa"/>
            <w:tcBorders>
              <w:tl2br w:val="nil"/>
              <w:tr2bl w:val="nil"/>
            </w:tcBorders>
            <w:shd w:val="clear" w:color="auto" w:fill="auto"/>
          </w:tcPr>
          <w:p>
            <w:pPr>
              <w:pStyle w:val="9"/>
              <w:spacing w:before="156"/>
              <w:ind w:left="1626" w:right="1617"/>
              <w:jc w:val="center"/>
              <w:rPr>
                <w:rFonts w:hint="eastAsia" w:ascii="黑体" w:eastAsia="黑体"/>
                <w:sz w:val="24"/>
              </w:rPr>
            </w:pPr>
            <w:r>
              <w:rPr>
                <w:rFonts w:hint="eastAsia" w:ascii="黑体" w:eastAsia="黑体"/>
                <w:sz w:val="24"/>
              </w:rPr>
              <w:t>具体内容</w:t>
            </w:r>
          </w:p>
        </w:tc>
        <w:tc>
          <w:tcPr>
            <w:tcW w:w="3687" w:type="dxa"/>
            <w:tcBorders>
              <w:tl2br w:val="nil"/>
              <w:tr2bl w:val="nil"/>
            </w:tcBorders>
            <w:shd w:val="clear" w:color="auto" w:fill="auto"/>
          </w:tcPr>
          <w:p>
            <w:pPr>
              <w:pStyle w:val="9"/>
              <w:spacing w:before="156"/>
              <w:ind w:left="405"/>
              <w:rPr>
                <w:rFonts w:hint="eastAsia" w:ascii="黑体" w:eastAsia="黑体"/>
                <w:sz w:val="24"/>
              </w:rPr>
            </w:pPr>
            <w:r>
              <w:rPr>
                <w:rFonts w:hint="eastAsia" w:ascii="黑体" w:eastAsia="黑体"/>
                <w:sz w:val="24"/>
              </w:rPr>
              <w:t>法律、法规、政策文件依据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2" w:hRule="atLeast"/>
        </w:trPr>
        <w:tc>
          <w:tcPr>
            <w:tcW w:w="456"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spacing w:before="1"/>
              <w:rPr>
                <w:rFonts w:ascii="方正小标宋简体"/>
                <w:sz w:val="17"/>
              </w:rPr>
            </w:pPr>
          </w:p>
          <w:p>
            <w:pPr>
              <w:pStyle w:val="9"/>
              <w:ind w:left="107"/>
              <w:rPr>
                <w:sz w:val="24"/>
              </w:rPr>
            </w:pPr>
            <w:r>
              <w:rPr>
                <w:sz w:val="24"/>
              </w:rPr>
              <w:t>19</w:t>
            </w:r>
          </w:p>
        </w:tc>
        <w:tc>
          <w:tcPr>
            <w:tcW w:w="1920" w:type="dxa"/>
            <w:tcBorders>
              <w:tl2br w:val="nil"/>
              <w:tr2bl w:val="nil"/>
            </w:tcBorders>
            <w:shd w:val="clear" w:color="auto" w:fill="auto"/>
          </w:tcPr>
          <w:p>
            <w:pPr>
              <w:pStyle w:val="9"/>
              <w:rPr>
                <w:rFonts w:ascii="方正小标宋简体"/>
                <w:sz w:val="24"/>
              </w:rPr>
            </w:pPr>
          </w:p>
          <w:p>
            <w:pPr>
              <w:pStyle w:val="9"/>
              <w:spacing w:before="12"/>
              <w:rPr>
                <w:rFonts w:ascii="方正小标宋简体"/>
                <w:sz w:val="14"/>
              </w:rPr>
            </w:pPr>
          </w:p>
          <w:p>
            <w:pPr>
              <w:pStyle w:val="9"/>
              <w:spacing w:line="242" w:lineRule="auto"/>
              <w:ind w:left="110" w:right="117"/>
              <w:jc w:val="both"/>
              <w:rPr>
                <w:sz w:val="24"/>
              </w:rPr>
            </w:pPr>
            <w:r>
              <w:rPr>
                <w:sz w:val="24"/>
              </w:rPr>
              <w:t>对于非专门面向中小微企业的项目，未落实价格扣除政策</w:t>
            </w:r>
          </w:p>
        </w:tc>
        <w:tc>
          <w:tcPr>
            <w:tcW w:w="4253" w:type="dxa"/>
            <w:tcBorders>
              <w:tl2br w:val="nil"/>
              <w:tr2bl w:val="nil"/>
            </w:tcBorders>
            <w:shd w:val="clear" w:color="auto" w:fill="auto"/>
          </w:tcPr>
          <w:p>
            <w:pPr>
              <w:pStyle w:val="9"/>
              <w:spacing w:before="1"/>
              <w:rPr>
                <w:rFonts w:ascii="方正小标宋简体"/>
                <w:sz w:val="21"/>
              </w:rPr>
            </w:pPr>
          </w:p>
          <w:p>
            <w:pPr>
              <w:pStyle w:val="9"/>
              <w:numPr>
                <w:ilvl w:val="0"/>
                <w:numId w:val="12"/>
              </w:numPr>
              <w:tabs>
                <w:tab w:val="left" w:pos="349"/>
              </w:tabs>
              <w:spacing w:before="0" w:after="0" w:line="242" w:lineRule="auto"/>
              <w:ind w:left="107" w:right="173" w:firstLine="0"/>
              <w:jc w:val="both"/>
              <w:rPr>
                <w:sz w:val="24"/>
              </w:rPr>
            </w:pPr>
            <w:r>
              <w:rPr>
                <w:spacing w:val="-2"/>
                <w:sz w:val="24"/>
              </w:rPr>
              <w:t>未落实对中小型、微型企业(监狱企</w:t>
            </w:r>
            <w:r>
              <w:rPr>
                <w:spacing w:val="-1"/>
                <w:sz w:val="24"/>
              </w:rPr>
              <w:t xml:space="preserve">业、残疾人福利性单位视同小微企业) </w:t>
            </w:r>
            <w:r>
              <w:rPr>
                <w:sz w:val="24"/>
              </w:rPr>
              <w:t>的价格扣除政策；</w:t>
            </w:r>
          </w:p>
          <w:p>
            <w:pPr>
              <w:pStyle w:val="9"/>
              <w:numPr>
                <w:ilvl w:val="0"/>
                <w:numId w:val="12"/>
              </w:numPr>
              <w:tabs>
                <w:tab w:val="left" w:pos="349"/>
              </w:tabs>
              <w:spacing w:before="5" w:after="0" w:line="242" w:lineRule="auto"/>
              <w:ind w:left="107" w:right="-29" w:firstLine="0"/>
              <w:jc w:val="left"/>
              <w:rPr>
                <w:sz w:val="24"/>
              </w:rPr>
            </w:pPr>
            <w:r>
              <w:rPr>
                <w:spacing w:val="-8"/>
                <w:sz w:val="24"/>
              </w:rPr>
              <w:t>未落实中小型、微型企业(监狱企业、</w:t>
            </w:r>
            <w:r>
              <w:rPr>
                <w:sz w:val="24"/>
              </w:rPr>
              <w:t>残疾人福利性单位视同小微企业)参与联合体投标的价格扣除政策。</w:t>
            </w:r>
          </w:p>
        </w:tc>
        <w:tc>
          <w:tcPr>
            <w:tcW w:w="3687" w:type="dxa"/>
            <w:tcBorders>
              <w:tl2br w:val="nil"/>
              <w:tr2bl w:val="nil"/>
            </w:tcBorders>
            <w:shd w:val="clear" w:color="auto" w:fill="auto"/>
          </w:tcPr>
          <w:p>
            <w:pPr>
              <w:pStyle w:val="9"/>
              <w:spacing w:before="62" w:line="242" w:lineRule="auto"/>
              <w:ind w:left="110" w:right="94"/>
              <w:rPr>
                <w:sz w:val="24"/>
              </w:rPr>
            </w:pPr>
            <w:r>
              <w:rPr>
                <w:sz w:val="24"/>
              </w:rPr>
              <w:t>《政府采购促进中小企业发展暂行办法》第五条、第六条；《财政部 司法部关于政府采购支持监狱企业发展有关问题的通知》</w:t>
            </w:r>
            <w:r>
              <w:rPr>
                <w:spacing w:val="-20"/>
                <w:sz w:val="24"/>
              </w:rPr>
              <w:t>(财库〔</w:t>
            </w:r>
            <w:r>
              <w:rPr>
                <w:sz w:val="24"/>
              </w:rPr>
              <w:t>2014</w:t>
            </w:r>
            <w:r>
              <w:rPr>
                <w:spacing w:val="-77"/>
                <w:sz w:val="24"/>
              </w:rPr>
              <w:t>〕</w:t>
            </w:r>
            <w:r>
              <w:rPr>
                <w:sz w:val="24"/>
              </w:rPr>
              <w:t>68</w:t>
            </w:r>
            <w:r>
              <w:rPr>
                <w:spacing w:val="-25"/>
                <w:sz w:val="24"/>
              </w:rPr>
              <w:t xml:space="preserve"> 号)；《财政部 民</w:t>
            </w:r>
            <w:r>
              <w:rPr>
                <w:sz w:val="24"/>
              </w:rPr>
              <w:t>政部 中国残疾人联合会关于促进残疾人就业政府采购政策的通知》(财库〔2017〕141</w:t>
            </w:r>
            <w:r>
              <w:rPr>
                <w:spacing w:val="-20"/>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316" w:type="dxa"/>
            <w:gridSpan w:val="4"/>
            <w:tcBorders>
              <w:tl2br w:val="nil"/>
              <w:tr2bl w:val="nil"/>
            </w:tcBorders>
            <w:shd w:val="clear" w:color="auto" w:fill="auto"/>
          </w:tcPr>
          <w:p>
            <w:pPr>
              <w:pStyle w:val="9"/>
              <w:spacing w:before="163"/>
              <w:ind w:left="107"/>
              <w:rPr>
                <w:rFonts w:hint="eastAsia" w:ascii="黑体" w:hAnsi="黑体" w:eastAsia="黑体"/>
                <w:sz w:val="28"/>
              </w:rPr>
            </w:pPr>
            <w:r>
              <w:rPr>
                <w:rFonts w:hint="eastAsia" w:ascii="黑体" w:hAnsi="黑体" w:eastAsia="黑体"/>
                <w:sz w:val="28"/>
              </w:rPr>
              <w:t>(四)评审职责——适用主体：政府采购评审专家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4" w:hRule="atLeast"/>
        </w:trPr>
        <w:tc>
          <w:tcPr>
            <w:tcW w:w="456" w:type="dxa"/>
            <w:tcBorders>
              <w:tl2br w:val="nil"/>
              <w:tr2bl w:val="nil"/>
            </w:tcBorders>
            <w:shd w:val="clear" w:color="auto" w:fill="auto"/>
          </w:tcPr>
          <w:p>
            <w:pPr>
              <w:pStyle w:val="9"/>
              <w:rPr>
                <w:rFonts w:ascii="方正小标宋简体"/>
                <w:sz w:val="24"/>
              </w:rPr>
            </w:pPr>
          </w:p>
          <w:p>
            <w:pPr>
              <w:pStyle w:val="9"/>
              <w:spacing w:before="4"/>
              <w:rPr>
                <w:rFonts w:ascii="方正小标宋简体"/>
                <w:sz w:val="35"/>
              </w:rPr>
            </w:pPr>
          </w:p>
          <w:p>
            <w:pPr>
              <w:pStyle w:val="9"/>
              <w:ind w:left="107"/>
              <w:rPr>
                <w:sz w:val="24"/>
              </w:rPr>
            </w:pPr>
            <w:r>
              <w:rPr>
                <w:sz w:val="24"/>
              </w:rPr>
              <w:t>20</w:t>
            </w:r>
          </w:p>
        </w:tc>
        <w:tc>
          <w:tcPr>
            <w:tcW w:w="1920" w:type="dxa"/>
            <w:tcBorders>
              <w:tl2br w:val="nil"/>
              <w:tr2bl w:val="nil"/>
            </w:tcBorders>
            <w:shd w:val="clear" w:color="auto" w:fill="auto"/>
          </w:tcPr>
          <w:p>
            <w:pPr>
              <w:pStyle w:val="9"/>
              <w:rPr>
                <w:rFonts w:ascii="方正小标宋简体"/>
                <w:sz w:val="24"/>
              </w:rPr>
            </w:pPr>
          </w:p>
          <w:p>
            <w:pPr>
              <w:pStyle w:val="9"/>
              <w:spacing w:before="11"/>
              <w:rPr>
                <w:rFonts w:ascii="方正小标宋简体"/>
                <w:sz w:val="17"/>
              </w:rPr>
            </w:pPr>
          </w:p>
          <w:p>
            <w:pPr>
              <w:pStyle w:val="9"/>
              <w:spacing w:before="1" w:line="242" w:lineRule="auto"/>
              <w:ind w:left="110" w:right="117"/>
              <w:jc w:val="both"/>
              <w:rPr>
                <w:sz w:val="24"/>
              </w:rPr>
            </w:pPr>
            <w:r>
              <w:rPr>
                <w:sz w:val="24"/>
              </w:rPr>
              <w:t>泄露评审文件、评审情况及获悉的秘密</w:t>
            </w:r>
          </w:p>
        </w:tc>
        <w:tc>
          <w:tcPr>
            <w:tcW w:w="4253" w:type="dxa"/>
            <w:tcBorders>
              <w:tl2br w:val="nil"/>
              <w:tr2bl w:val="nil"/>
            </w:tcBorders>
            <w:shd w:val="clear" w:color="auto" w:fill="auto"/>
          </w:tcPr>
          <w:p>
            <w:pPr>
              <w:pStyle w:val="9"/>
              <w:spacing w:before="15"/>
              <w:rPr>
                <w:rFonts w:ascii="方正小标宋简体"/>
                <w:sz w:val="32"/>
              </w:rPr>
            </w:pPr>
          </w:p>
          <w:p>
            <w:pPr>
              <w:pStyle w:val="9"/>
              <w:numPr>
                <w:ilvl w:val="0"/>
                <w:numId w:val="13"/>
              </w:numPr>
              <w:tabs>
                <w:tab w:val="left" w:pos="349"/>
              </w:tabs>
              <w:spacing w:before="0" w:after="0" w:line="240" w:lineRule="auto"/>
              <w:ind w:left="348" w:right="0" w:hanging="242"/>
              <w:jc w:val="left"/>
              <w:rPr>
                <w:sz w:val="24"/>
              </w:rPr>
            </w:pPr>
            <w:r>
              <w:rPr>
                <w:sz w:val="24"/>
              </w:rPr>
              <w:t>泄露评审文件具体情况；</w:t>
            </w:r>
          </w:p>
          <w:p>
            <w:pPr>
              <w:pStyle w:val="9"/>
              <w:numPr>
                <w:ilvl w:val="0"/>
                <w:numId w:val="13"/>
              </w:numPr>
              <w:tabs>
                <w:tab w:val="left" w:pos="349"/>
              </w:tabs>
              <w:spacing w:before="5" w:after="0" w:line="240" w:lineRule="auto"/>
              <w:ind w:left="348" w:right="0" w:hanging="242"/>
              <w:jc w:val="left"/>
              <w:rPr>
                <w:sz w:val="24"/>
              </w:rPr>
            </w:pPr>
            <w:r>
              <w:rPr>
                <w:sz w:val="24"/>
              </w:rPr>
              <w:t>泄露评审情况；</w:t>
            </w:r>
          </w:p>
          <w:p>
            <w:pPr>
              <w:pStyle w:val="9"/>
              <w:numPr>
                <w:ilvl w:val="0"/>
                <w:numId w:val="13"/>
              </w:numPr>
              <w:tabs>
                <w:tab w:val="left" w:pos="349"/>
              </w:tabs>
              <w:spacing w:before="4" w:after="0" w:line="242" w:lineRule="auto"/>
              <w:ind w:left="107" w:right="96" w:firstLine="0"/>
              <w:jc w:val="left"/>
              <w:rPr>
                <w:sz w:val="24"/>
              </w:rPr>
            </w:pPr>
            <w:r>
              <w:rPr>
                <w:spacing w:val="-5"/>
                <w:sz w:val="24"/>
              </w:rPr>
              <w:t>泄露评审中获悉的国家秘密、商业秘</w:t>
            </w:r>
            <w:r>
              <w:rPr>
                <w:sz w:val="24"/>
              </w:rPr>
              <w:t>密。</w:t>
            </w:r>
          </w:p>
        </w:tc>
        <w:tc>
          <w:tcPr>
            <w:tcW w:w="3687" w:type="dxa"/>
            <w:tcBorders>
              <w:tl2br w:val="nil"/>
              <w:tr2bl w:val="nil"/>
            </w:tcBorders>
            <w:shd w:val="clear" w:color="auto" w:fill="auto"/>
          </w:tcPr>
          <w:p>
            <w:pPr>
              <w:pStyle w:val="9"/>
              <w:spacing w:before="115" w:line="242" w:lineRule="auto"/>
              <w:ind w:left="110" w:right="82"/>
              <w:jc w:val="both"/>
              <w:rPr>
                <w:sz w:val="24"/>
              </w:rPr>
            </w:pPr>
            <w:r>
              <w:rPr>
                <w:sz w:val="24"/>
              </w:rPr>
              <w:t>《中华人民共和国政府采购法实施条例》第四十条；《政府采购非招标采购方式管理办法》(财政部令第 74 号)第五十五条；《政府采购评审专家管理办法》(财库</w:t>
            </w:r>
          </w:p>
          <w:p>
            <w:pPr>
              <w:pStyle w:val="9"/>
              <w:spacing w:before="7" w:line="242" w:lineRule="auto"/>
              <w:ind w:left="110" w:right="94"/>
              <w:jc w:val="both"/>
              <w:rPr>
                <w:sz w:val="24"/>
              </w:rPr>
            </w:pPr>
            <w:r>
              <w:rPr>
                <w:sz w:val="24"/>
              </w:rPr>
              <w:t>〔2016〕198</w:t>
            </w:r>
            <w:r>
              <w:rPr>
                <w:spacing w:val="-5"/>
                <w:sz w:val="24"/>
              </w:rPr>
              <w:t xml:space="preserve"> 号)第二十七条、第</w:t>
            </w:r>
            <w:r>
              <w:rPr>
                <w:sz w:val="24"/>
              </w:rPr>
              <w:t>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7" w:hRule="atLeast"/>
        </w:trPr>
        <w:tc>
          <w:tcPr>
            <w:tcW w:w="456"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spacing w:before="11"/>
              <w:rPr>
                <w:rFonts w:ascii="方正小标宋简体"/>
                <w:sz w:val="22"/>
              </w:rPr>
            </w:pPr>
          </w:p>
          <w:p>
            <w:pPr>
              <w:pStyle w:val="9"/>
              <w:ind w:left="107"/>
              <w:rPr>
                <w:sz w:val="24"/>
              </w:rPr>
            </w:pPr>
            <w:r>
              <w:rPr>
                <w:sz w:val="24"/>
              </w:rPr>
              <w:t>21</w:t>
            </w:r>
          </w:p>
        </w:tc>
        <w:tc>
          <w:tcPr>
            <w:tcW w:w="1920"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spacing w:before="14"/>
              <w:rPr>
                <w:rFonts w:ascii="方正小标宋简体"/>
                <w:sz w:val="13"/>
              </w:rPr>
            </w:pPr>
          </w:p>
          <w:p>
            <w:pPr>
              <w:pStyle w:val="9"/>
              <w:spacing w:before="1" w:line="242" w:lineRule="auto"/>
              <w:ind w:left="110" w:right="117"/>
              <w:rPr>
                <w:sz w:val="24"/>
              </w:rPr>
            </w:pPr>
            <w:r>
              <w:rPr>
                <w:sz w:val="24"/>
              </w:rPr>
              <w:t>与供应商存在利害关系未回避</w:t>
            </w:r>
          </w:p>
        </w:tc>
        <w:tc>
          <w:tcPr>
            <w:tcW w:w="4253" w:type="dxa"/>
            <w:tcBorders>
              <w:tl2br w:val="nil"/>
              <w:tr2bl w:val="nil"/>
            </w:tcBorders>
            <w:shd w:val="clear" w:color="auto" w:fill="auto"/>
          </w:tcPr>
          <w:p>
            <w:pPr>
              <w:pStyle w:val="9"/>
              <w:rPr>
                <w:rFonts w:ascii="方正小标宋简体"/>
                <w:sz w:val="24"/>
              </w:rPr>
            </w:pPr>
          </w:p>
          <w:p>
            <w:pPr>
              <w:pStyle w:val="9"/>
              <w:spacing w:before="4"/>
              <w:rPr>
                <w:rFonts w:ascii="方正小标宋简体"/>
                <w:sz w:val="20"/>
              </w:rPr>
            </w:pPr>
          </w:p>
          <w:p>
            <w:pPr>
              <w:pStyle w:val="9"/>
              <w:numPr>
                <w:ilvl w:val="0"/>
                <w:numId w:val="14"/>
              </w:numPr>
              <w:tabs>
                <w:tab w:val="left" w:pos="349"/>
              </w:tabs>
              <w:spacing w:before="0" w:after="0" w:line="242" w:lineRule="auto"/>
              <w:ind w:left="107" w:right="293" w:firstLine="0"/>
              <w:jc w:val="left"/>
              <w:rPr>
                <w:sz w:val="24"/>
              </w:rPr>
            </w:pPr>
            <w:r>
              <w:rPr>
                <w:spacing w:val="-2"/>
                <w:sz w:val="24"/>
              </w:rPr>
              <w:t>确定参与评标至评标结束前私自接</w:t>
            </w:r>
            <w:r>
              <w:rPr>
                <w:sz w:val="24"/>
              </w:rPr>
              <w:t>触投标人；</w:t>
            </w:r>
          </w:p>
          <w:p>
            <w:pPr>
              <w:pStyle w:val="9"/>
              <w:numPr>
                <w:ilvl w:val="0"/>
                <w:numId w:val="14"/>
              </w:numPr>
              <w:tabs>
                <w:tab w:val="left" w:pos="349"/>
              </w:tabs>
              <w:spacing w:before="3" w:after="0" w:line="242" w:lineRule="auto"/>
              <w:ind w:left="107" w:right="293" w:firstLine="0"/>
              <w:jc w:val="left"/>
              <w:rPr>
                <w:sz w:val="24"/>
              </w:rPr>
            </w:pPr>
            <w:r>
              <w:rPr>
                <w:spacing w:val="-2"/>
                <w:sz w:val="24"/>
              </w:rPr>
              <w:t>明知与供应商有利害关系而不依法</w:t>
            </w:r>
            <w:r>
              <w:rPr>
                <w:sz w:val="24"/>
              </w:rPr>
              <w:t>回避。</w:t>
            </w:r>
          </w:p>
        </w:tc>
        <w:tc>
          <w:tcPr>
            <w:tcW w:w="3687" w:type="dxa"/>
            <w:tcBorders>
              <w:tl2br w:val="nil"/>
              <w:tr2bl w:val="nil"/>
            </w:tcBorders>
            <w:shd w:val="clear" w:color="auto" w:fill="auto"/>
          </w:tcPr>
          <w:p>
            <w:pPr>
              <w:pStyle w:val="9"/>
              <w:spacing w:before="2" w:line="310" w:lineRule="atLeast"/>
              <w:ind w:left="110" w:right="94"/>
              <w:rPr>
                <w:sz w:val="24"/>
              </w:rPr>
            </w:pPr>
            <w:r>
              <w:rPr>
                <w:sz w:val="24"/>
              </w:rPr>
              <w:t xml:space="preserve">《中华人民共和国政府采购法实施条例》第七十五条；《政府采购货物和服务招标投标管理办 </w:t>
            </w:r>
            <w:r>
              <w:rPr>
                <w:spacing w:val="-10"/>
                <w:sz w:val="24"/>
              </w:rPr>
              <w:t xml:space="preserve">法》(财政部令第 </w:t>
            </w:r>
            <w:r>
              <w:rPr>
                <w:sz w:val="24"/>
              </w:rPr>
              <w:t>87</w:t>
            </w:r>
            <w:r>
              <w:rPr>
                <w:spacing w:val="-11"/>
                <w:sz w:val="24"/>
              </w:rPr>
              <w:t xml:space="preserve"> 号)第六十二</w:t>
            </w:r>
            <w:r>
              <w:rPr>
                <w:sz w:val="24"/>
              </w:rPr>
              <w:t>条；《政府采购非招标采购方式</w:t>
            </w:r>
            <w:r>
              <w:rPr>
                <w:spacing w:val="-7"/>
                <w:sz w:val="24"/>
              </w:rPr>
              <w:t xml:space="preserve">管理办法》(财政部令第 </w:t>
            </w:r>
            <w:r>
              <w:rPr>
                <w:sz w:val="24"/>
              </w:rPr>
              <w:t>74</w:t>
            </w:r>
            <w:r>
              <w:rPr>
                <w:spacing w:val="-20"/>
                <w:sz w:val="24"/>
              </w:rPr>
              <w:t xml:space="preserve"> 号)第</w:t>
            </w:r>
            <w:r>
              <w:rPr>
                <w:sz w:val="24"/>
              </w:rPr>
              <w:t>五十五条；《政府采购评审专家</w:t>
            </w:r>
            <w:r>
              <w:rPr>
                <w:spacing w:val="-8"/>
                <w:sz w:val="24"/>
              </w:rPr>
              <w:t>管理办法》(财库〔</w:t>
            </w:r>
            <w:r>
              <w:rPr>
                <w:sz w:val="24"/>
              </w:rPr>
              <w:t>2016</w:t>
            </w:r>
            <w:r>
              <w:rPr>
                <w:spacing w:val="-24"/>
                <w:sz w:val="24"/>
              </w:rPr>
              <w:t>〕</w:t>
            </w:r>
            <w:r>
              <w:rPr>
                <w:sz w:val="24"/>
              </w:rPr>
              <w:t>198</w:t>
            </w:r>
            <w:r>
              <w:rPr>
                <w:spacing w:val="-26"/>
                <w:sz w:val="24"/>
              </w:rPr>
              <w:t xml:space="preserve"> 号) </w:t>
            </w:r>
            <w:r>
              <w:rPr>
                <w:sz w:val="24"/>
              </w:rPr>
              <w:t>第二十七条、第二十九条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1" w:hRule="atLeast"/>
        </w:trPr>
        <w:tc>
          <w:tcPr>
            <w:tcW w:w="456" w:type="dxa"/>
            <w:tcBorders>
              <w:tl2br w:val="nil"/>
              <w:tr2bl w:val="nil"/>
            </w:tcBorders>
            <w:shd w:val="clear" w:color="auto" w:fill="auto"/>
          </w:tcPr>
          <w:p>
            <w:pPr>
              <w:pStyle w:val="9"/>
              <w:rPr>
                <w:rFonts w:ascii="方正小标宋简体"/>
                <w:sz w:val="24"/>
              </w:rPr>
            </w:pPr>
          </w:p>
          <w:p>
            <w:pPr>
              <w:pStyle w:val="9"/>
              <w:rPr>
                <w:rFonts w:ascii="方正小标宋简体"/>
                <w:sz w:val="24"/>
              </w:rPr>
            </w:pPr>
          </w:p>
          <w:p>
            <w:pPr>
              <w:pStyle w:val="9"/>
              <w:spacing w:before="9"/>
              <w:rPr>
                <w:rFonts w:ascii="方正小标宋简体"/>
                <w:sz w:val="14"/>
              </w:rPr>
            </w:pPr>
          </w:p>
          <w:p>
            <w:pPr>
              <w:pStyle w:val="9"/>
              <w:ind w:left="107"/>
              <w:rPr>
                <w:sz w:val="24"/>
              </w:rPr>
            </w:pPr>
            <w:r>
              <w:rPr>
                <w:sz w:val="24"/>
              </w:rPr>
              <w:t>22</w:t>
            </w:r>
          </w:p>
        </w:tc>
        <w:tc>
          <w:tcPr>
            <w:tcW w:w="1920" w:type="dxa"/>
            <w:tcBorders>
              <w:tl2br w:val="nil"/>
              <w:tr2bl w:val="nil"/>
            </w:tcBorders>
            <w:shd w:val="clear" w:color="auto" w:fill="auto"/>
          </w:tcPr>
          <w:p>
            <w:pPr>
              <w:pStyle w:val="9"/>
              <w:spacing w:before="5"/>
              <w:rPr>
                <w:rFonts w:ascii="方正小标宋简体"/>
                <w:sz w:val="27"/>
              </w:rPr>
            </w:pPr>
          </w:p>
          <w:p>
            <w:pPr>
              <w:pStyle w:val="9"/>
              <w:spacing w:line="242" w:lineRule="auto"/>
              <w:ind w:left="110" w:right="117"/>
              <w:rPr>
                <w:sz w:val="24"/>
              </w:rPr>
            </w:pPr>
            <w:r>
              <w:rPr>
                <w:spacing w:val="-3"/>
                <w:sz w:val="24"/>
              </w:rPr>
              <w:t>未按照采购文件</w:t>
            </w:r>
            <w:r>
              <w:rPr>
                <w:sz w:val="24"/>
              </w:rPr>
              <w:t xml:space="preserve">规定的评审程 </w:t>
            </w:r>
            <w:r>
              <w:rPr>
                <w:spacing w:val="-3"/>
                <w:sz w:val="24"/>
              </w:rPr>
              <w:t>序、评审方法和评审标准进行独</w:t>
            </w:r>
            <w:r>
              <w:rPr>
                <w:sz w:val="24"/>
              </w:rPr>
              <w:t>立评审</w:t>
            </w:r>
          </w:p>
        </w:tc>
        <w:tc>
          <w:tcPr>
            <w:tcW w:w="4253" w:type="dxa"/>
            <w:tcBorders>
              <w:tl2br w:val="nil"/>
              <w:tr2bl w:val="nil"/>
            </w:tcBorders>
            <w:shd w:val="clear" w:color="auto" w:fill="auto"/>
          </w:tcPr>
          <w:p>
            <w:pPr>
              <w:pStyle w:val="9"/>
              <w:numPr>
                <w:ilvl w:val="0"/>
                <w:numId w:val="15"/>
              </w:numPr>
              <w:tabs>
                <w:tab w:val="left" w:pos="349"/>
              </w:tabs>
              <w:spacing w:before="16" w:after="0" w:line="242" w:lineRule="auto"/>
              <w:ind w:left="107" w:right="293" w:firstLine="0"/>
              <w:jc w:val="left"/>
              <w:rPr>
                <w:sz w:val="24"/>
              </w:rPr>
            </w:pPr>
            <w:r>
              <w:rPr>
                <w:spacing w:val="-2"/>
                <w:sz w:val="24"/>
              </w:rPr>
              <w:t>未按照采购文件规定的评定成交的</w:t>
            </w:r>
            <w:r>
              <w:rPr>
                <w:sz w:val="24"/>
              </w:rPr>
              <w:t>标准进行评审；</w:t>
            </w:r>
          </w:p>
          <w:p>
            <w:pPr>
              <w:pStyle w:val="9"/>
              <w:numPr>
                <w:ilvl w:val="0"/>
                <w:numId w:val="15"/>
              </w:numPr>
              <w:tabs>
                <w:tab w:val="left" w:pos="349"/>
              </w:tabs>
              <w:spacing w:before="3" w:after="0" w:line="242" w:lineRule="auto"/>
              <w:ind w:left="107" w:right="293" w:firstLine="0"/>
              <w:jc w:val="left"/>
              <w:rPr>
                <w:sz w:val="24"/>
              </w:rPr>
            </w:pPr>
            <w:r>
              <w:rPr>
                <w:spacing w:val="-2"/>
                <w:sz w:val="24"/>
              </w:rPr>
              <w:t>未按照采购文件规定的评定办法和</w:t>
            </w:r>
            <w:r>
              <w:rPr>
                <w:sz w:val="24"/>
              </w:rPr>
              <w:t>标准进行评审；</w:t>
            </w:r>
          </w:p>
          <w:p>
            <w:pPr>
              <w:pStyle w:val="9"/>
              <w:numPr>
                <w:ilvl w:val="0"/>
                <w:numId w:val="15"/>
              </w:numPr>
              <w:tabs>
                <w:tab w:val="left" w:pos="349"/>
              </w:tabs>
              <w:spacing w:before="3" w:after="0" w:line="242" w:lineRule="auto"/>
              <w:ind w:left="107" w:right="293" w:firstLine="0"/>
              <w:jc w:val="left"/>
              <w:rPr>
                <w:sz w:val="24"/>
              </w:rPr>
            </w:pPr>
            <w:r>
              <w:rPr>
                <w:spacing w:val="-2"/>
                <w:sz w:val="24"/>
              </w:rPr>
              <w:t>接受投标人主动提出的与投标文件</w:t>
            </w:r>
            <w:r>
              <w:rPr>
                <w:sz w:val="24"/>
              </w:rPr>
              <w:t>不一致的澄清或者说明；</w:t>
            </w:r>
          </w:p>
          <w:p>
            <w:pPr>
              <w:pStyle w:val="9"/>
              <w:numPr>
                <w:ilvl w:val="0"/>
                <w:numId w:val="15"/>
              </w:numPr>
              <w:tabs>
                <w:tab w:val="left" w:pos="349"/>
              </w:tabs>
              <w:spacing w:before="3" w:after="0" w:line="242" w:lineRule="auto"/>
              <w:ind w:left="107" w:right="293" w:firstLine="0"/>
              <w:jc w:val="left"/>
              <w:rPr>
                <w:sz w:val="24"/>
              </w:rPr>
            </w:pPr>
            <w:r>
              <w:rPr>
                <w:spacing w:val="-2"/>
                <w:sz w:val="24"/>
              </w:rPr>
              <w:t>对需要专业判断的主观评审因素协</w:t>
            </w:r>
            <w:r>
              <w:rPr>
                <w:sz w:val="24"/>
              </w:rPr>
              <w:t>商评分。</w:t>
            </w:r>
          </w:p>
        </w:tc>
        <w:tc>
          <w:tcPr>
            <w:tcW w:w="3687" w:type="dxa"/>
            <w:tcBorders>
              <w:tl2br w:val="nil"/>
              <w:tr2bl w:val="nil"/>
            </w:tcBorders>
            <w:shd w:val="clear" w:color="auto" w:fill="auto"/>
          </w:tcPr>
          <w:p>
            <w:pPr>
              <w:pStyle w:val="9"/>
              <w:spacing w:before="172" w:line="242" w:lineRule="auto"/>
              <w:ind w:left="110" w:right="94"/>
              <w:rPr>
                <w:sz w:val="24"/>
              </w:rPr>
            </w:pPr>
            <w:r>
              <w:rPr>
                <w:sz w:val="24"/>
              </w:rPr>
              <w:t>《中华人民共和国政府采购法实施条例》第七十五条、《政府采</w:t>
            </w:r>
            <w:r>
              <w:rPr>
                <w:spacing w:val="-3"/>
                <w:sz w:val="24"/>
              </w:rPr>
              <w:t>购非招标采购方式管理办法》(财</w:t>
            </w:r>
            <w:r>
              <w:rPr>
                <w:spacing w:val="-12"/>
                <w:sz w:val="24"/>
              </w:rPr>
              <w:t xml:space="preserve">政部令第 </w:t>
            </w:r>
            <w:r>
              <w:rPr>
                <w:sz w:val="24"/>
              </w:rPr>
              <w:t>74</w:t>
            </w:r>
            <w:r>
              <w:rPr>
                <w:spacing w:val="-20"/>
                <w:sz w:val="24"/>
              </w:rPr>
              <w:t xml:space="preserve"> 号)第五十五条、《政</w:t>
            </w:r>
            <w:r>
              <w:rPr>
                <w:spacing w:val="-3"/>
                <w:sz w:val="24"/>
              </w:rPr>
              <w:t>府采购评审专家管理办法》(财库</w:t>
            </w:r>
          </w:p>
          <w:p>
            <w:pPr>
              <w:pStyle w:val="9"/>
              <w:spacing w:before="7" w:line="242" w:lineRule="auto"/>
              <w:ind w:left="110" w:right="76"/>
              <w:rPr>
                <w:sz w:val="24"/>
              </w:rPr>
            </w:pPr>
            <w:r>
              <w:rPr>
                <w:sz w:val="24"/>
              </w:rPr>
              <w:t>〔2016〕198 号)第二十七条、第二十九条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56" w:type="dxa"/>
            <w:tcBorders>
              <w:tl2br w:val="nil"/>
              <w:tr2bl w:val="nil"/>
            </w:tcBorders>
            <w:shd w:val="clear" w:color="auto" w:fill="auto"/>
          </w:tcPr>
          <w:p>
            <w:pPr>
              <w:pStyle w:val="9"/>
              <w:rPr>
                <w:rFonts w:ascii="方正小标宋简体"/>
                <w:sz w:val="24"/>
              </w:rPr>
            </w:pPr>
          </w:p>
          <w:p>
            <w:pPr>
              <w:pStyle w:val="9"/>
              <w:spacing w:before="13"/>
              <w:rPr>
                <w:rFonts w:ascii="方正小标宋简体"/>
                <w:sz w:val="28"/>
              </w:rPr>
            </w:pPr>
          </w:p>
          <w:p>
            <w:pPr>
              <w:pStyle w:val="9"/>
              <w:ind w:left="107"/>
              <w:rPr>
                <w:sz w:val="24"/>
              </w:rPr>
            </w:pPr>
            <w:r>
              <w:rPr>
                <w:sz w:val="24"/>
              </w:rPr>
              <w:t>23</w:t>
            </w:r>
          </w:p>
        </w:tc>
        <w:tc>
          <w:tcPr>
            <w:tcW w:w="1920" w:type="dxa"/>
            <w:tcBorders>
              <w:tl2br w:val="nil"/>
              <w:tr2bl w:val="nil"/>
            </w:tcBorders>
            <w:shd w:val="clear" w:color="auto" w:fill="auto"/>
          </w:tcPr>
          <w:p>
            <w:pPr>
              <w:pStyle w:val="9"/>
              <w:rPr>
                <w:rFonts w:ascii="方正小标宋简体"/>
                <w:sz w:val="24"/>
              </w:rPr>
            </w:pPr>
          </w:p>
          <w:p>
            <w:pPr>
              <w:pStyle w:val="9"/>
              <w:spacing w:before="17"/>
              <w:rPr>
                <w:rFonts w:ascii="方正小标宋简体"/>
                <w:sz w:val="19"/>
              </w:rPr>
            </w:pPr>
          </w:p>
          <w:p>
            <w:pPr>
              <w:pStyle w:val="9"/>
              <w:spacing w:line="242" w:lineRule="auto"/>
              <w:ind w:left="110" w:right="117"/>
              <w:rPr>
                <w:sz w:val="24"/>
              </w:rPr>
            </w:pPr>
            <w:r>
              <w:rPr>
                <w:sz w:val="24"/>
              </w:rPr>
              <w:t>收受财物或不正当利益</w:t>
            </w:r>
          </w:p>
        </w:tc>
        <w:tc>
          <w:tcPr>
            <w:tcW w:w="4253" w:type="dxa"/>
            <w:tcBorders>
              <w:tl2br w:val="nil"/>
              <w:tr2bl w:val="nil"/>
            </w:tcBorders>
            <w:shd w:val="clear" w:color="auto" w:fill="auto"/>
          </w:tcPr>
          <w:p>
            <w:pPr>
              <w:pStyle w:val="9"/>
              <w:spacing w:before="3"/>
              <w:rPr>
                <w:rFonts w:ascii="方正小标宋简体"/>
                <w:sz w:val="35"/>
              </w:rPr>
            </w:pPr>
          </w:p>
          <w:p>
            <w:pPr>
              <w:pStyle w:val="9"/>
              <w:spacing w:line="242" w:lineRule="auto"/>
              <w:ind w:left="107" w:right="53"/>
              <w:rPr>
                <w:sz w:val="24"/>
              </w:rPr>
            </w:pPr>
            <w:r>
              <w:rPr>
                <w:spacing w:val="-1"/>
                <w:sz w:val="24"/>
              </w:rPr>
              <w:t>收受采购人、采购代理机构、供应商、</w:t>
            </w:r>
            <w:r>
              <w:rPr>
                <w:sz w:val="24"/>
              </w:rPr>
              <w:t>其他利害关系人的财物或者其他不正 当利益。</w:t>
            </w:r>
          </w:p>
        </w:tc>
        <w:tc>
          <w:tcPr>
            <w:tcW w:w="3687" w:type="dxa"/>
            <w:tcBorders>
              <w:tl2br w:val="nil"/>
              <w:tr2bl w:val="nil"/>
            </w:tcBorders>
            <w:shd w:val="clear" w:color="auto" w:fill="auto"/>
          </w:tcPr>
          <w:p>
            <w:pPr>
              <w:pStyle w:val="9"/>
              <w:spacing w:line="242" w:lineRule="auto"/>
              <w:ind w:left="110" w:right="94"/>
              <w:rPr>
                <w:sz w:val="24"/>
              </w:rPr>
            </w:pPr>
            <w:r>
              <w:rPr>
                <w:sz w:val="24"/>
              </w:rPr>
              <w:t>《中华人民共和国政府采购法实施条例》第七十五条；《政府采</w:t>
            </w:r>
            <w:r>
              <w:rPr>
                <w:spacing w:val="-3"/>
                <w:sz w:val="24"/>
              </w:rPr>
              <w:t>购非招标采购方式管理办法》(财</w:t>
            </w:r>
            <w:r>
              <w:rPr>
                <w:spacing w:val="-12"/>
                <w:sz w:val="24"/>
              </w:rPr>
              <w:t xml:space="preserve">政部令第 </w:t>
            </w:r>
            <w:r>
              <w:rPr>
                <w:sz w:val="24"/>
              </w:rPr>
              <w:t>74</w:t>
            </w:r>
            <w:r>
              <w:rPr>
                <w:spacing w:val="-20"/>
                <w:sz w:val="24"/>
              </w:rPr>
              <w:t xml:space="preserve"> 号)第五十五条；《政</w:t>
            </w:r>
            <w:r>
              <w:rPr>
                <w:spacing w:val="-3"/>
                <w:sz w:val="24"/>
              </w:rPr>
              <w:t>府采购评审专家管理办法》(财库</w:t>
            </w:r>
          </w:p>
          <w:p>
            <w:pPr>
              <w:pStyle w:val="9"/>
              <w:spacing w:before="4" w:line="310" w:lineRule="atLeast"/>
              <w:ind w:left="110" w:right="76"/>
              <w:rPr>
                <w:sz w:val="24"/>
              </w:rPr>
            </w:pPr>
            <w:r>
              <w:rPr>
                <w:sz w:val="24"/>
              </w:rPr>
              <w:t>〔2016〕198 号)第二十七条、第二十九条</w:t>
            </w:r>
          </w:p>
        </w:tc>
      </w:tr>
    </w:tbl>
    <w:p>
      <w:pPr>
        <w:spacing w:after="0" w:line="310" w:lineRule="atLeast"/>
        <w:rPr>
          <w:sz w:val="24"/>
        </w:rPr>
        <w:sectPr>
          <w:footerReference r:id="rId8" w:type="default"/>
          <w:pgSz w:w="11910" w:h="16840"/>
          <w:pgMar w:top="1420" w:right="660" w:bottom="1300" w:left="680" w:header="0" w:footer="1117" w:gutter="0"/>
          <w:pgBorders>
            <w:top w:val="none" w:sz="0" w:space="0"/>
            <w:left w:val="none" w:sz="0" w:space="0"/>
            <w:bottom w:val="none" w:sz="0" w:space="0"/>
            <w:right w:val="none" w:sz="0" w:space="0"/>
          </w:pgBorders>
        </w:sectPr>
      </w:pPr>
    </w:p>
    <w:tbl>
      <w:tblPr>
        <w:tblStyle w:val="5"/>
        <w:tblW w:w="1031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56"/>
        <w:gridCol w:w="1920"/>
        <w:gridCol w:w="4253"/>
        <w:gridCol w:w="3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456" w:type="dxa"/>
            <w:tcBorders>
              <w:tl2br w:val="nil"/>
              <w:tr2bl w:val="nil"/>
            </w:tcBorders>
            <w:shd w:val="clear" w:color="auto" w:fill="auto"/>
          </w:tcPr>
          <w:p>
            <w:pPr>
              <w:pStyle w:val="9"/>
              <w:ind w:left="107"/>
              <w:rPr>
                <w:rFonts w:hint="eastAsia" w:ascii="黑体" w:eastAsia="黑体"/>
                <w:sz w:val="24"/>
              </w:rPr>
            </w:pPr>
            <w:r>
              <w:rPr>
                <w:rFonts w:hint="eastAsia" w:ascii="黑体" w:eastAsia="黑体"/>
                <w:sz w:val="24"/>
              </w:rPr>
              <w:t>序</w:t>
            </w:r>
          </w:p>
          <w:p>
            <w:pPr>
              <w:pStyle w:val="9"/>
              <w:spacing w:before="4" w:line="292" w:lineRule="exact"/>
              <w:ind w:left="107"/>
              <w:rPr>
                <w:rFonts w:hint="eastAsia" w:ascii="黑体" w:eastAsia="黑体"/>
                <w:sz w:val="24"/>
              </w:rPr>
            </w:pPr>
            <w:r>
              <w:rPr>
                <w:rFonts w:hint="eastAsia" w:ascii="黑体" w:eastAsia="黑体"/>
                <w:sz w:val="24"/>
              </w:rPr>
              <w:t>号</w:t>
            </w:r>
          </w:p>
        </w:tc>
        <w:tc>
          <w:tcPr>
            <w:tcW w:w="1920" w:type="dxa"/>
            <w:tcBorders>
              <w:tl2br w:val="nil"/>
              <w:tr2bl w:val="nil"/>
            </w:tcBorders>
            <w:shd w:val="clear" w:color="auto" w:fill="auto"/>
          </w:tcPr>
          <w:p>
            <w:pPr>
              <w:pStyle w:val="9"/>
              <w:spacing w:before="156"/>
              <w:ind w:left="482"/>
              <w:rPr>
                <w:rFonts w:hint="eastAsia" w:ascii="黑体" w:eastAsia="黑体"/>
                <w:sz w:val="24"/>
              </w:rPr>
            </w:pPr>
            <w:r>
              <w:rPr>
                <w:rFonts w:hint="eastAsia" w:ascii="黑体" w:eastAsia="黑体"/>
                <w:sz w:val="24"/>
              </w:rPr>
              <w:t>禁止事项</w:t>
            </w:r>
          </w:p>
        </w:tc>
        <w:tc>
          <w:tcPr>
            <w:tcW w:w="4253" w:type="dxa"/>
            <w:tcBorders>
              <w:tl2br w:val="nil"/>
              <w:tr2bl w:val="nil"/>
            </w:tcBorders>
            <w:shd w:val="clear" w:color="auto" w:fill="auto"/>
          </w:tcPr>
          <w:p>
            <w:pPr>
              <w:pStyle w:val="9"/>
              <w:spacing w:before="156"/>
              <w:ind w:left="1626" w:right="1617"/>
              <w:jc w:val="center"/>
              <w:rPr>
                <w:rFonts w:hint="eastAsia" w:ascii="黑体" w:eastAsia="黑体"/>
                <w:sz w:val="24"/>
              </w:rPr>
            </w:pPr>
            <w:r>
              <w:rPr>
                <w:rFonts w:hint="eastAsia" w:ascii="黑体" w:eastAsia="黑体"/>
                <w:sz w:val="24"/>
              </w:rPr>
              <w:t>具体内容</w:t>
            </w:r>
          </w:p>
        </w:tc>
        <w:tc>
          <w:tcPr>
            <w:tcW w:w="3687" w:type="dxa"/>
            <w:tcBorders>
              <w:tl2br w:val="nil"/>
              <w:tr2bl w:val="nil"/>
            </w:tcBorders>
            <w:shd w:val="clear" w:color="auto" w:fill="auto"/>
          </w:tcPr>
          <w:p>
            <w:pPr>
              <w:pStyle w:val="9"/>
              <w:spacing w:before="156"/>
              <w:ind w:left="405"/>
              <w:rPr>
                <w:rFonts w:hint="eastAsia" w:ascii="黑体" w:eastAsia="黑体"/>
                <w:sz w:val="24"/>
              </w:rPr>
            </w:pPr>
            <w:r>
              <w:rPr>
                <w:rFonts w:hint="eastAsia" w:ascii="黑体" w:eastAsia="黑体"/>
                <w:sz w:val="24"/>
              </w:rPr>
              <w:t>法律、法规、政策文件依据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456" w:type="dxa"/>
            <w:tcBorders>
              <w:tl2br w:val="nil"/>
              <w:tr2bl w:val="nil"/>
            </w:tcBorders>
            <w:shd w:val="clear" w:color="auto" w:fill="auto"/>
          </w:tcPr>
          <w:p>
            <w:pPr>
              <w:pStyle w:val="9"/>
              <w:rPr>
                <w:rFonts w:ascii="方正小标宋简体"/>
                <w:sz w:val="24"/>
              </w:rPr>
            </w:pPr>
          </w:p>
          <w:p>
            <w:pPr>
              <w:pStyle w:val="9"/>
              <w:spacing w:before="2"/>
              <w:rPr>
                <w:rFonts w:ascii="方正小标宋简体"/>
                <w:sz w:val="17"/>
              </w:rPr>
            </w:pPr>
          </w:p>
          <w:p>
            <w:pPr>
              <w:pStyle w:val="9"/>
              <w:ind w:left="107"/>
              <w:rPr>
                <w:sz w:val="24"/>
              </w:rPr>
            </w:pPr>
            <w:r>
              <w:rPr>
                <w:sz w:val="24"/>
              </w:rPr>
              <w:t>24</w:t>
            </w:r>
          </w:p>
        </w:tc>
        <w:tc>
          <w:tcPr>
            <w:tcW w:w="1920" w:type="dxa"/>
            <w:tcBorders>
              <w:tl2br w:val="nil"/>
              <w:tr2bl w:val="nil"/>
            </w:tcBorders>
            <w:shd w:val="clear" w:color="auto" w:fill="auto"/>
          </w:tcPr>
          <w:p>
            <w:pPr>
              <w:pStyle w:val="9"/>
              <w:rPr>
                <w:rFonts w:ascii="方正小标宋简体"/>
                <w:sz w:val="24"/>
              </w:rPr>
            </w:pPr>
          </w:p>
          <w:p>
            <w:pPr>
              <w:pStyle w:val="9"/>
              <w:spacing w:before="2"/>
              <w:rPr>
                <w:rFonts w:ascii="方正小标宋简体"/>
                <w:sz w:val="17"/>
              </w:rPr>
            </w:pPr>
          </w:p>
          <w:p>
            <w:pPr>
              <w:pStyle w:val="9"/>
              <w:ind w:left="110"/>
              <w:rPr>
                <w:sz w:val="24"/>
              </w:rPr>
            </w:pPr>
            <w:r>
              <w:rPr>
                <w:sz w:val="24"/>
              </w:rPr>
              <w:t>擅离职守</w:t>
            </w:r>
          </w:p>
        </w:tc>
        <w:tc>
          <w:tcPr>
            <w:tcW w:w="4253" w:type="dxa"/>
            <w:tcBorders>
              <w:tl2br w:val="nil"/>
              <w:tr2bl w:val="nil"/>
            </w:tcBorders>
            <w:shd w:val="clear" w:color="auto" w:fill="auto"/>
          </w:tcPr>
          <w:p>
            <w:pPr>
              <w:pStyle w:val="9"/>
              <w:spacing w:before="5"/>
              <w:rPr>
                <w:rFonts w:ascii="方正小标宋简体"/>
                <w:sz w:val="32"/>
              </w:rPr>
            </w:pPr>
          </w:p>
          <w:p>
            <w:pPr>
              <w:pStyle w:val="9"/>
              <w:spacing w:before="1" w:line="242" w:lineRule="auto"/>
              <w:ind w:left="107" w:right="36"/>
              <w:rPr>
                <w:sz w:val="24"/>
              </w:rPr>
            </w:pPr>
            <w:r>
              <w:rPr>
                <w:sz w:val="24"/>
              </w:rPr>
              <w:t>在评标过程中擅离职守，影响评标程序正常进行。</w:t>
            </w:r>
          </w:p>
        </w:tc>
        <w:tc>
          <w:tcPr>
            <w:tcW w:w="3687" w:type="dxa"/>
            <w:tcBorders>
              <w:tl2br w:val="nil"/>
              <w:tr2bl w:val="nil"/>
            </w:tcBorders>
            <w:shd w:val="clear" w:color="auto" w:fill="auto"/>
          </w:tcPr>
          <w:p>
            <w:pPr>
              <w:pStyle w:val="9"/>
              <w:spacing w:before="105" w:line="242" w:lineRule="auto"/>
              <w:ind w:left="110" w:right="94"/>
              <w:rPr>
                <w:sz w:val="24"/>
              </w:rPr>
            </w:pPr>
            <w:r>
              <w:rPr>
                <w:sz w:val="24"/>
              </w:rPr>
              <w:t>《政府采购货物和服务招标投标</w:t>
            </w:r>
            <w:r>
              <w:rPr>
                <w:spacing w:val="-7"/>
                <w:sz w:val="24"/>
              </w:rPr>
              <w:t xml:space="preserve">管理办法》(财政部令第 </w:t>
            </w:r>
            <w:r>
              <w:rPr>
                <w:sz w:val="24"/>
              </w:rPr>
              <w:t>87</w:t>
            </w:r>
            <w:r>
              <w:rPr>
                <w:spacing w:val="-20"/>
                <w:sz w:val="24"/>
              </w:rPr>
              <w:t xml:space="preserve"> 号)第</w:t>
            </w:r>
            <w:r>
              <w:rPr>
                <w:sz w:val="24"/>
              </w:rPr>
              <w:t>六十二条；《政府采购非招标采</w:t>
            </w:r>
            <w:r>
              <w:rPr>
                <w:spacing w:val="-12"/>
                <w:sz w:val="24"/>
              </w:rPr>
              <w:t xml:space="preserve">购方式管理办法》(财政部令第 </w:t>
            </w:r>
            <w:r>
              <w:rPr>
                <w:spacing w:val="-9"/>
                <w:sz w:val="24"/>
              </w:rPr>
              <w:t xml:space="preserve">74 </w:t>
            </w:r>
            <w:r>
              <w:rPr>
                <w:sz w:val="24"/>
              </w:rPr>
              <w:t>号)第五十五条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0" w:hRule="atLeast"/>
        </w:trPr>
        <w:tc>
          <w:tcPr>
            <w:tcW w:w="456" w:type="dxa"/>
            <w:tcBorders>
              <w:tl2br w:val="nil"/>
              <w:tr2bl w:val="nil"/>
            </w:tcBorders>
            <w:shd w:val="clear" w:color="auto" w:fill="auto"/>
          </w:tcPr>
          <w:p>
            <w:pPr>
              <w:pStyle w:val="9"/>
              <w:rPr>
                <w:rFonts w:ascii="方正小标宋简体"/>
                <w:sz w:val="24"/>
              </w:rPr>
            </w:pPr>
          </w:p>
          <w:p>
            <w:pPr>
              <w:pStyle w:val="9"/>
              <w:spacing w:before="10"/>
              <w:rPr>
                <w:rFonts w:ascii="方正小标宋简体"/>
                <w:sz w:val="34"/>
              </w:rPr>
            </w:pPr>
          </w:p>
          <w:p>
            <w:pPr>
              <w:pStyle w:val="9"/>
              <w:ind w:left="107"/>
              <w:rPr>
                <w:sz w:val="24"/>
              </w:rPr>
            </w:pPr>
            <w:r>
              <w:rPr>
                <w:sz w:val="24"/>
              </w:rPr>
              <w:t>25</w:t>
            </w:r>
          </w:p>
        </w:tc>
        <w:tc>
          <w:tcPr>
            <w:tcW w:w="1920" w:type="dxa"/>
            <w:tcBorders>
              <w:tl2br w:val="nil"/>
              <w:tr2bl w:val="nil"/>
            </w:tcBorders>
            <w:shd w:val="clear" w:color="auto" w:fill="auto"/>
          </w:tcPr>
          <w:p>
            <w:pPr>
              <w:pStyle w:val="9"/>
              <w:rPr>
                <w:rFonts w:ascii="方正小标宋简体"/>
                <w:sz w:val="24"/>
              </w:rPr>
            </w:pPr>
          </w:p>
          <w:p>
            <w:pPr>
              <w:pStyle w:val="9"/>
              <w:spacing w:before="10"/>
              <w:rPr>
                <w:rFonts w:ascii="方正小标宋简体"/>
                <w:sz w:val="34"/>
              </w:rPr>
            </w:pPr>
          </w:p>
          <w:p>
            <w:pPr>
              <w:pStyle w:val="9"/>
              <w:ind w:left="110"/>
              <w:rPr>
                <w:sz w:val="24"/>
              </w:rPr>
            </w:pPr>
            <w:r>
              <w:rPr>
                <w:sz w:val="24"/>
              </w:rPr>
              <w:t>违反评标纪律</w:t>
            </w:r>
          </w:p>
        </w:tc>
        <w:tc>
          <w:tcPr>
            <w:tcW w:w="4253" w:type="dxa"/>
            <w:tcBorders>
              <w:tl2br w:val="nil"/>
              <w:tr2bl w:val="nil"/>
            </w:tcBorders>
            <w:shd w:val="clear" w:color="auto" w:fill="auto"/>
          </w:tcPr>
          <w:p>
            <w:pPr>
              <w:pStyle w:val="9"/>
              <w:numPr>
                <w:ilvl w:val="0"/>
                <w:numId w:val="16"/>
              </w:numPr>
              <w:tabs>
                <w:tab w:val="left" w:pos="349"/>
              </w:tabs>
              <w:spacing w:before="103" w:after="0" w:line="242" w:lineRule="auto"/>
              <w:ind w:left="107" w:right="293" w:firstLine="0"/>
              <w:jc w:val="left"/>
              <w:rPr>
                <w:sz w:val="24"/>
              </w:rPr>
            </w:pPr>
            <w:r>
              <w:rPr>
                <w:spacing w:val="-2"/>
                <w:sz w:val="24"/>
              </w:rPr>
              <w:t>违反评标纪律发表倾向性意见或者</w:t>
            </w:r>
            <w:r>
              <w:rPr>
                <w:sz w:val="24"/>
              </w:rPr>
              <w:t>征询采购人的倾向性意见；</w:t>
            </w:r>
          </w:p>
          <w:p>
            <w:pPr>
              <w:pStyle w:val="9"/>
              <w:numPr>
                <w:ilvl w:val="0"/>
                <w:numId w:val="16"/>
              </w:numPr>
              <w:tabs>
                <w:tab w:val="left" w:pos="349"/>
              </w:tabs>
              <w:spacing w:before="3" w:after="0" w:line="240" w:lineRule="auto"/>
              <w:ind w:left="348" w:right="0" w:hanging="242"/>
              <w:jc w:val="left"/>
              <w:rPr>
                <w:sz w:val="24"/>
              </w:rPr>
            </w:pPr>
            <w:r>
              <w:rPr>
                <w:sz w:val="24"/>
              </w:rPr>
              <w:t>记录、复制或者带走任何评标资料；</w:t>
            </w:r>
          </w:p>
          <w:p>
            <w:pPr>
              <w:pStyle w:val="9"/>
              <w:numPr>
                <w:ilvl w:val="0"/>
                <w:numId w:val="16"/>
              </w:numPr>
              <w:tabs>
                <w:tab w:val="left" w:pos="349"/>
              </w:tabs>
              <w:spacing w:before="4" w:after="0" w:line="242" w:lineRule="auto"/>
              <w:ind w:left="107" w:right="293" w:firstLine="0"/>
              <w:jc w:val="left"/>
              <w:rPr>
                <w:sz w:val="24"/>
              </w:rPr>
            </w:pPr>
            <w:r>
              <w:rPr>
                <w:spacing w:val="-2"/>
                <w:sz w:val="24"/>
              </w:rPr>
              <w:t>在评审过程中有明显不合理或者不</w:t>
            </w:r>
            <w:r>
              <w:rPr>
                <w:sz w:val="24"/>
              </w:rPr>
              <w:t>正当倾向性；</w:t>
            </w:r>
          </w:p>
          <w:p>
            <w:pPr>
              <w:pStyle w:val="9"/>
              <w:numPr>
                <w:ilvl w:val="0"/>
                <w:numId w:val="16"/>
              </w:numPr>
              <w:tabs>
                <w:tab w:val="left" w:pos="349"/>
              </w:tabs>
              <w:spacing w:before="3" w:after="0" w:line="242" w:lineRule="auto"/>
              <w:ind w:left="107" w:right="96" w:firstLine="0"/>
              <w:jc w:val="left"/>
              <w:rPr>
                <w:sz w:val="24"/>
              </w:rPr>
            </w:pPr>
            <w:r>
              <w:rPr>
                <w:spacing w:val="-8"/>
                <w:sz w:val="24"/>
              </w:rPr>
              <w:t>评审期间，未按要求存放、上交通讯</w:t>
            </w:r>
            <w:r>
              <w:rPr>
                <w:sz w:val="24"/>
              </w:rPr>
              <w:t>工具及相关电子设备。</w:t>
            </w:r>
          </w:p>
        </w:tc>
        <w:tc>
          <w:tcPr>
            <w:tcW w:w="3687" w:type="dxa"/>
            <w:tcBorders>
              <w:tl2br w:val="nil"/>
              <w:tr2bl w:val="nil"/>
            </w:tcBorders>
            <w:shd w:val="clear" w:color="auto" w:fill="auto"/>
          </w:tcPr>
          <w:p>
            <w:pPr>
              <w:pStyle w:val="9"/>
              <w:spacing w:before="7"/>
              <w:rPr>
                <w:rFonts w:ascii="方正小标宋简体"/>
                <w:sz w:val="23"/>
              </w:rPr>
            </w:pPr>
          </w:p>
          <w:p>
            <w:pPr>
              <w:pStyle w:val="9"/>
              <w:spacing w:line="242" w:lineRule="auto"/>
              <w:ind w:left="110" w:right="94"/>
              <w:rPr>
                <w:sz w:val="24"/>
              </w:rPr>
            </w:pPr>
            <w:r>
              <w:rPr>
                <w:sz w:val="24"/>
              </w:rPr>
              <w:t>《政府采购货物和服务招标投标</w:t>
            </w:r>
            <w:r>
              <w:rPr>
                <w:spacing w:val="-7"/>
                <w:sz w:val="24"/>
              </w:rPr>
              <w:t xml:space="preserve">管理办法》(财政部令第 </w:t>
            </w:r>
            <w:r>
              <w:rPr>
                <w:sz w:val="24"/>
              </w:rPr>
              <w:t>87</w:t>
            </w:r>
            <w:r>
              <w:rPr>
                <w:spacing w:val="-20"/>
                <w:sz w:val="24"/>
              </w:rPr>
              <w:t xml:space="preserve"> 号)第</w:t>
            </w:r>
            <w:r>
              <w:rPr>
                <w:sz w:val="24"/>
              </w:rPr>
              <w:t>六十二条、《关于进一步规范政府采购评审工作有关问题的通 知》(财库〔2012〕69</w:t>
            </w:r>
            <w:r>
              <w:rPr>
                <w:spacing w:val="-20"/>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456" w:type="dxa"/>
            <w:tcBorders>
              <w:tl2br w:val="nil"/>
              <w:tr2bl w:val="nil"/>
            </w:tcBorders>
            <w:shd w:val="clear" w:color="auto" w:fill="auto"/>
          </w:tcPr>
          <w:p>
            <w:pPr>
              <w:pStyle w:val="9"/>
              <w:spacing w:before="1"/>
              <w:rPr>
                <w:rFonts w:ascii="方正小标宋简体"/>
                <w:sz w:val="19"/>
              </w:rPr>
            </w:pPr>
          </w:p>
          <w:p>
            <w:pPr>
              <w:pStyle w:val="9"/>
              <w:ind w:left="107"/>
              <w:rPr>
                <w:sz w:val="24"/>
              </w:rPr>
            </w:pPr>
            <w:r>
              <w:rPr>
                <w:sz w:val="24"/>
              </w:rPr>
              <w:t>26</w:t>
            </w:r>
          </w:p>
        </w:tc>
        <w:tc>
          <w:tcPr>
            <w:tcW w:w="1920" w:type="dxa"/>
            <w:tcBorders>
              <w:tl2br w:val="nil"/>
              <w:tr2bl w:val="nil"/>
            </w:tcBorders>
            <w:shd w:val="clear" w:color="auto" w:fill="auto"/>
          </w:tcPr>
          <w:p>
            <w:pPr>
              <w:pStyle w:val="9"/>
              <w:spacing w:before="1"/>
              <w:rPr>
                <w:rFonts w:ascii="方正小标宋简体"/>
                <w:sz w:val="19"/>
              </w:rPr>
            </w:pPr>
          </w:p>
          <w:p>
            <w:pPr>
              <w:pStyle w:val="9"/>
              <w:ind w:left="110"/>
              <w:rPr>
                <w:sz w:val="24"/>
              </w:rPr>
            </w:pPr>
            <w:r>
              <w:rPr>
                <w:sz w:val="24"/>
              </w:rPr>
              <w:t>不履行法定义务</w:t>
            </w:r>
          </w:p>
        </w:tc>
        <w:tc>
          <w:tcPr>
            <w:tcW w:w="4253" w:type="dxa"/>
            <w:tcBorders>
              <w:tl2br w:val="nil"/>
              <w:tr2bl w:val="nil"/>
            </w:tcBorders>
            <w:shd w:val="clear" w:color="auto" w:fill="auto"/>
          </w:tcPr>
          <w:p>
            <w:pPr>
              <w:pStyle w:val="9"/>
              <w:spacing w:before="182" w:line="242" w:lineRule="auto"/>
              <w:ind w:left="107" w:right="53"/>
              <w:rPr>
                <w:sz w:val="24"/>
              </w:rPr>
            </w:pPr>
            <w:r>
              <w:rPr>
                <w:sz w:val="24"/>
              </w:rPr>
              <w:t>拒不履行配合答复供应商询问、质疑、投诉等法定义务。</w:t>
            </w:r>
          </w:p>
        </w:tc>
        <w:tc>
          <w:tcPr>
            <w:tcW w:w="3687" w:type="dxa"/>
            <w:tcBorders>
              <w:tl2br w:val="nil"/>
              <w:tr2bl w:val="nil"/>
            </w:tcBorders>
            <w:shd w:val="clear" w:color="auto" w:fill="auto"/>
          </w:tcPr>
          <w:p>
            <w:pPr>
              <w:pStyle w:val="9"/>
              <w:spacing w:before="182" w:line="242" w:lineRule="auto"/>
              <w:ind w:left="110" w:right="50"/>
              <w:rPr>
                <w:sz w:val="24"/>
              </w:rPr>
            </w:pPr>
            <w:r>
              <w:rPr>
                <w:sz w:val="24"/>
              </w:rPr>
              <w:t>《政府采购评审专家管理办法》(财库〔2016〕198 号)第二十九条</w:t>
            </w:r>
          </w:p>
        </w:tc>
      </w:tr>
    </w:tbl>
    <w:p/>
    <w:sectPr>
      <w:footerReference r:id="rId9" w:type="default"/>
      <w:pgSz w:w="11910" w:h="16840"/>
      <w:pgMar w:top="1420" w:right="660" w:bottom="1300" w:left="680" w:header="0" w:footer="1117"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mc:AlternateContent>
        <mc:Choice Requires="wps">
          <w:drawing>
            <wp:anchor distT="0" distB="0" distL="114300" distR="114300" simplePos="0" relativeHeight="2504611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4611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0454016" behindDoc="1" locked="0" layoutInCell="1" allowOverlap="1">
              <wp:simplePos x="0" y="0"/>
              <wp:positionH relativeFrom="page">
                <wp:posOffset>6224905</wp:posOffset>
              </wp:positionH>
              <wp:positionV relativeFrom="page">
                <wp:posOffset>9791700</wp:posOffset>
              </wp:positionV>
              <wp:extent cx="205740" cy="1397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spacing w:before="0" w:line="203" w:lineRule="exact"/>
                            <w:ind w:right="0"/>
                            <w:jc w:val="left"/>
                            <w:rPr>
                              <w:rFonts w:ascii="Calibri"/>
                              <w:sz w:val="18"/>
                            </w:rPr>
                          </w:pPr>
                        </w:p>
                      </w:txbxContent>
                    </wps:txbx>
                    <wps:bodyPr lIns="0" tIns="0" rIns="0" bIns="0" upright="1"/>
                  </wps:wsp>
                </a:graphicData>
              </a:graphic>
            </wp:anchor>
          </w:drawing>
        </mc:Choice>
        <mc:Fallback>
          <w:pict>
            <v:shape id="文本框 3" o:spid="_x0000_s1026" o:spt="202" type="#_x0000_t202" style="position:absolute;left:0pt;margin-left:490.15pt;margin-top:771pt;height:11pt;width:16.2pt;mso-position-horizontal-relative:page;mso-position-vertical-relative:page;z-index:-252862464;mso-width-relative:page;mso-height-relative:page;" filled="f" stroked="f" coordsize="21600,21600" o:gfxdata="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XX1HLbAAAADgEAAA8AAAAA&#10;AAAAAQAgAAAAIgAAAGRycy9kb3ducmV2LnhtbFBLAQIUABQAAAAIAIdO4kAR6y9nnwEAACMDAAAO&#10;AAAAAAAAAAEAIAAAACoBAABkcnMvZTJvRG9jLnhtbFBLBQYAAAAABgAGAFkBAAA7BQAAAAA=&#10;">
              <v:fill on="f" focussize="0,0"/>
              <v:stroke on="f"/>
              <v:imagedata o:title=""/>
              <o:lock v:ext="edit" aspectratio="f"/>
              <v:textbox inset="0mm,0mm,0mm,0mm">
                <w:txbxContent>
                  <w:p>
                    <w:pPr>
                      <w:spacing w:before="0" w:line="203" w:lineRule="exact"/>
                      <w:ind w:right="0"/>
                      <w:jc w:val="left"/>
                      <w:rPr>
                        <w:rFonts w:ascii="Calibri"/>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mc:AlternateContent>
        <mc:Choice Requires="wps">
          <w:drawing>
            <wp:anchor distT="0" distB="0" distL="114300" distR="114300" simplePos="0" relativeHeight="250462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4622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mc:AlternateContent>
        <mc:Choice Requires="wps">
          <w:drawing>
            <wp:anchor distT="0" distB="0" distL="114300" distR="114300" simplePos="0" relativeHeight="2504632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4632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mc:AlternateContent>
        <mc:Choice Requires="wps">
          <w:drawing>
            <wp:anchor distT="0" distB="0" distL="114300" distR="114300" simplePos="0" relativeHeight="2504642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4642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mc:AlternateContent>
        <mc:Choice Requires="wps">
          <w:drawing>
            <wp:anchor distT="0" distB="0" distL="114300" distR="114300" simplePos="0" relativeHeight="2504652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4652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mc:AlternateContent>
        <mc:Choice Requires="wps">
          <w:drawing>
            <wp:anchor distT="0" distB="0" distL="114300" distR="114300" simplePos="0" relativeHeight="2504663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4663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mc:AlternateContent>
        <mc:Choice Requires="wps">
          <w:drawing>
            <wp:anchor distT="0" distB="0" distL="114300" distR="114300" simplePos="0" relativeHeight="2504673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04673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07" w:hanging="241"/>
        <w:jc w:val="left"/>
      </w:pPr>
      <w:rPr>
        <w:rFonts w:hint="default" w:ascii="仿宋_GB2312" w:hAnsi="仿宋_GB2312" w:eastAsia="仿宋_GB2312" w:cs="仿宋_GB2312"/>
        <w:spacing w:val="-44"/>
        <w:w w:val="100"/>
        <w:sz w:val="22"/>
        <w:szCs w:val="22"/>
        <w:lang w:val="zh-CN" w:eastAsia="zh-CN" w:bidi="zh-CN"/>
      </w:rPr>
    </w:lvl>
    <w:lvl w:ilvl="1" w:tentative="0">
      <w:start w:val="0"/>
      <w:numFmt w:val="bullet"/>
      <w:lvlText w:val="•"/>
      <w:lvlJc w:val="left"/>
      <w:pPr>
        <w:ind w:left="514" w:hanging="241"/>
      </w:pPr>
      <w:rPr>
        <w:rFonts w:hint="default"/>
        <w:lang w:val="zh-CN" w:eastAsia="zh-CN" w:bidi="zh-CN"/>
      </w:rPr>
    </w:lvl>
    <w:lvl w:ilvl="2" w:tentative="0">
      <w:start w:val="0"/>
      <w:numFmt w:val="bullet"/>
      <w:lvlText w:val="•"/>
      <w:lvlJc w:val="left"/>
      <w:pPr>
        <w:ind w:left="928" w:hanging="241"/>
      </w:pPr>
      <w:rPr>
        <w:rFonts w:hint="default"/>
        <w:lang w:val="zh-CN" w:eastAsia="zh-CN" w:bidi="zh-CN"/>
      </w:rPr>
    </w:lvl>
    <w:lvl w:ilvl="3" w:tentative="0">
      <w:start w:val="0"/>
      <w:numFmt w:val="bullet"/>
      <w:lvlText w:val="•"/>
      <w:lvlJc w:val="left"/>
      <w:pPr>
        <w:ind w:left="1342" w:hanging="241"/>
      </w:pPr>
      <w:rPr>
        <w:rFonts w:hint="default"/>
        <w:lang w:val="zh-CN" w:eastAsia="zh-CN" w:bidi="zh-CN"/>
      </w:rPr>
    </w:lvl>
    <w:lvl w:ilvl="4" w:tentative="0">
      <w:start w:val="0"/>
      <w:numFmt w:val="bullet"/>
      <w:lvlText w:val="•"/>
      <w:lvlJc w:val="left"/>
      <w:pPr>
        <w:ind w:left="1757" w:hanging="241"/>
      </w:pPr>
      <w:rPr>
        <w:rFonts w:hint="default"/>
        <w:lang w:val="zh-CN" w:eastAsia="zh-CN" w:bidi="zh-CN"/>
      </w:rPr>
    </w:lvl>
    <w:lvl w:ilvl="5" w:tentative="0">
      <w:start w:val="0"/>
      <w:numFmt w:val="bullet"/>
      <w:lvlText w:val="•"/>
      <w:lvlJc w:val="left"/>
      <w:pPr>
        <w:ind w:left="2171" w:hanging="241"/>
      </w:pPr>
      <w:rPr>
        <w:rFonts w:hint="default"/>
        <w:lang w:val="zh-CN" w:eastAsia="zh-CN" w:bidi="zh-CN"/>
      </w:rPr>
    </w:lvl>
    <w:lvl w:ilvl="6" w:tentative="0">
      <w:start w:val="0"/>
      <w:numFmt w:val="bullet"/>
      <w:lvlText w:val="•"/>
      <w:lvlJc w:val="left"/>
      <w:pPr>
        <w:ind w:left="2585" w:hanging="241"/>
      </w:pPr>
      <w:rPr>
        <w:rFonts w:hint="default"/>
        <w:lang w:val="zh-CN" w:eastAsia="zh-CN" w:bidi="zh-CN"/>
      </w:rPr>
    </w:lvl>
    <w:lvl w:ilvl="7" w:tentative="0">
      <w:start w:val="0"/>
      <w:numFmt w:val="bullet"/>
      <w:lvlText w:val="•"/>
      <w:lvlJc w:val="left"/>
      <w:pPr>
        <w:ind w:left="3000" w:hanging="241"/>
      </w:pPr>
      <w:rPr>
        <w:rFonts w:hint="default"/>
        <w:lang w:val="zh-CN" w:eastAsia="zh-CN" w:bidi="zh-CN"/>
      </w:rPr>
    </w:lvl>
    <w:lvl w:ilvl="8" w:tentative="0">
      <w:start w:val="0"/>
      <w:numFmt w:val="bullet"/>
      <w:lvlText w:val="•"/>
      <w:lvlJc w:val="left"/>
      <w:pPr>
        <w:ind w:left="3414" w:hanging="241"/>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07" w:hanging="241"/>
        <w:jc w:val="left"/>
      </w:pPr>
      <w:rPr>
        <w:rFonts w:hint="default" w:ascii="仿宋_GB2312" w:hAnsi="仿宋_GB2312" w:eastAsia="仿宋_GB2312" w:cs="仿宋_GB2312"/>
        <w:spacing w:val="-22"/>
        <w:w w:val="100"/>
        <w:sz w:val="22"/>
        <w:szCs w:val="22"/>
        <w:lang w:val="zh-CN" w:eastAsia="zh-CN" w:bidi="zh-CN"/>
      </w:rPr>
    </w:lvl>
    <w:lvl w:ilvl="1" w:tentative="0">
      <w:start w:val="0"/>
      <w:numFmt w:val="bullet"/>
      <w:lvlText w:val="•"/>
      <w:lvlJc w:val="left"/>
      <w:pPr>
        <w:ind w:left="514" w:hanging="241"/>
      </w:pPr>
      <w:rPr>
        <w:rFonts w:hint="default"/>
        <w:lang w:val="zh-CN" w:eastAsia="zh-CN" w:bidi="zh-CN"/>
      </w:rPr>
    </w:lvl>
    <w:lvl w:ilvl="2" w:tentative="0">
      <w:start w:val="0"/>
      <w:numFmt w:val="bullet"/>
      <w:lvlText w:val="•"/>
      <w:lvlJc w:val="left"/>
      <w:pPr>
        <w:ind w:left="928" w:hanging="241"/>
      </w:pPr>
      <w:rPr>
        <w:rFonts w:hint="default"/>
        <w:lang w:val="zh-CN" w:eastAsia="zh-CN" w:bidi="zh-CN"/>
      </w:rPr>
    </w:lvl>
    <w:lvl w:ilvl="3" w:tentative="0">
      <w:start w:val="0"/>
      <w:numFmt w:val="bullet"/>
      <w:lvlText w:val="•"/>
      <w:lvlJc w:val="left"/>
      <w:pPr>
        <w:ind w:left="1342" w:hanging="241"/>
      </w:pPr>
      <w:rPr>
        <w:rFonts w:hint="default"/>
        <w:lang w:val="zh-CN" w:eastAsia="zh-CN" w:bidi="zh-CN"/>
      </w:rPr>
    </w:lvl>
    <w:lvl w:ilvl="4" w:tentative="0">
      <w:start w:val="0"/>
      <w:numFmt w:val="bullet"/>
      <w:lvlText w:val="•"/>
      <w:lvlJc w:val="left"/>
      <w:pPr>
        <w:ind w:left="1757" w:hanging="241"/>
      </w:pPr>
      <w:rPr>
        <w:rFonts w:hint="default"/>
        <w:lang w:val="zh-CN" w:eastAsia="zh-CN" w:bidi="zh-CN"/>
      </w:rPr>
    </w:lvl>
    <w:lvl w:ilvl="5" w:tentative="0">
      <w:start w:val="0"/>
      <w:numFmt w:val="bullet"/>
      <w:lvlText w:val="•"/>
      <w:lvlJc w:val="left"/>
      <w:pPr>
        <w:ind w:left="2171" w:hanging="241"/>
      </w:pPr>
      <w:rPr>
        <w:rFonts w:hint="default"/>
        <w:lang w:val="zh-CN" w:eastAsia="zh-CN" w:bidi="zh-CN"/>
      </w:rPr>
    </w:lvl>
    <w:lvl w:ilvl="6" w:tentative="0">
      <w:start w:val="0"/>
      <w:numFmt w:val="bullet"/>
      <w:lvlText w:val="•"/>
      <w:lvlJc w:val="left"/>
      <w:pPr>
        <w:ind w:left="2585" w:hanging="241"/>
      </w:pPr>
      <w:rPr>
        <w:rFonts w:hint="default"/>
        <w:lang w:val="zh-CN" w:eastAsia="zh-CN" w:bidi="zh-CN"/>
      </w:rPr>
    </w:lvl>
    <w:lvl w:ilvl="7" w:tentative="0">
      <w:start w:val="0"/>
      <w:numFmt w:val="bullet"/>
      <w:lvlText w:val="•"/>
      <w:lvlJc w:val="left"/>
      <w:pPr>
        <w:ind w:left="3000" w:hanging="241"/>
      </w:pPr>
      <w:rPr>
        <w:rFonts w:hint="default"/>
        <w:lang w:val="zh-CN" w:eastAsia="zh-CN" w:bidi="zh-CN"/>
      </w:rPr>
    </w:lvl>
    <w:lvl w:ilvl="8" w:tentative="0">
      <w:start w:val="0"/>
      <w:numFmt w:val="bullet"/>
      <w:lvlText w:val="•"/>
      <w:lvlJc w:val="left"/>
      <w:pPr>
        <w:ind w:left="3414" w:hanging="241"/>
      </w:pPr>
      <w:rPr>
        <w:rFonts w:hint="default"/>
        <w:lang w:val="zh-CN" w:eastAsia="zh-CN" w:bidi="zh-CN"/>
      </w:rPr>
    </w:lvl>
  </w:abstractNum>
  <w:abstractNum w:abstractNumId="2">
    <w:nsid w:val="BF205925"/>
    <w:multiLevelType w:val="multilevel"/>
    <w:tmpl w:val="BF205925"/>
    <w:lvl w:ilvl="0" w:tentative="0">
      <w:start w:val="3"/>
      <w:numFmt w:val="decimal"/>
      <w:lvlText w:val="%1."/>
      <w:lvlJc w:val="left"/>
      <w:pPr>
        <w:ind w:left="107" w:hanging="241"/>
        <w:jc w:val="left"/>
      </w:pPr>
      <w:rPr>
        <w:rFonts w:hint="default" w:ascii="仿宋_GB2312" w:hAnsi="仿宋_GB2312" w:eastAsia="仿宋_GB2312" w:cs="仿宋_GB2312"/>
        <w:spacing w:val="-17"/>
        <w:w w:val="100"/>
        <w:sz w:val="22"/>
        <w:szCs w:val="22"/>
        <w:lang w:val="zh-CN" w:eastAsia="zh-CN" w:bidi="zh-CN"/>
      </w:rPr>
    </w:lvl>
    <w:lvl w:ilvl="1" w:tentative="0">
      <w:start w:val="0"/>
      <w:numFmt w:val="bullet"/>
      <w:lvlText w:val="•"/>
      <w:lvlJc w:val="left"/>
      <w:pPr>
        <w:ind w:left="514" w:hanging="241"/>
      </w:pPr>
      <w:rPr>
        <w:rFonts w:hint="default"/>
        <w:lang w:val="zh-CN" w:eastAsia="zh-CN" w:bidi="zh-CN"/>
      </w:rPr>
    </w:lvl>
    <w:lvl w:ilvl="2" w:tentative="0">
      <w:start w:val="0"/>
      <w:numFmt w:val="bullet"/>
      <w:lvlText w:val="•"/>
      <w:lvlJc w:val="left"/>
      <w:pPr>
        <w:ind w:left="928" w:hanging="241"/>
      </w:pPr>
      <w:rPr>
        <w:rFonts w:hint="default"/>
        <w:lang w:val="zh-CN" w:eastAsia="zh-CN" w:bidi="zh-CN"/>
      </w:rPr>
    </w:lvl>
    <w:lvl w:ilvl="3" w:tentative="0">
      <w:start w:val="0"/>
      <w:numFmt w:val="bullet"/>
      <w:lvlText w:val="•"/>
      <w:lvlJc w:val="left"/>
      <w:pPr>
        <w:ind w:left="1342" w:hanging="241"/>
      </w:pPr>
      <w:rPr>
        <w:rFonts w:hint="default"/>
        <w:lang w:val="zh-CN" w:eastAsia="zh-CN" w:bidi="zh-CN"/>
      </w:rPr>
    </w:lvl>
    <w:lvl w:ilvl="4" w:tentative="0">
      <w:start w:val="0"/>
      <w:numFmt w:val="bullet"/>
      <w:lvlText w:val="•"/>
      <w:lvlJc w:val="left"/>
      <w:pPr>
        <w:ind w:left="1757" w:hanging="241"/>
      </w:pPr>
      <w:rPr>
        <w:rFonts w:hint="default"/>
        <w:lang w:val="zh-CN" w:eastAsia="zh-CN" w:bidi="zh-CN"/>
      </w:rPr>
    </w:lvl>
    <w:lvl w:ilvl="5" w:tentative="0">
      <w:start w:val="0"/>
      <w:numFmt w:val="bullet"/>
      <w:lvlText w:val="•"/>
      <w:lvlJc w:val="left"/>
      <w:pPr>
        <w:ind w:left="2171" w:hanging="241"/>
      </w:pPr>
      <w:rPr>
        <w:rFonts w:hint="default"/>
        <w:lang w:val="zh-CN" w:eastAsia="zh-CN" w:bidi="zh-CN"/>
      </w:rPr>
    </w:lvl>
    <w:lvl w:ilvl="6" w:tentative="0">
      <w:start w:val="0"/>
      <w:numFmt w:val="bullet"/>
      <w:lvlText w:val="•"/>
      <w:lvlJc w:val="left"/>
      <w:pPr>
        <w:ind w:left="2585" w:hanging="241"/>
      </w:pPr>
      <w:rPr>
        <w:rFonts w:hint="default"/>
        <w:lang w:val="zh-CN" w:eastAsia="zh-CN" w:bidi="zh-CN"/>
      </w:rPr>
    </w:lvl>
    <w:lvl w:ilvl="7" w:tentative="0">
      <w:start w:val="0"/>
      <w:numFmt w:val="bullet"/>
      <w:lvlText w:val="•"/>
      <w:lvlJc w:val="left"/>
      <w:pPr>
        <w:ind w:left="3000" w:hanging="241"/>
      </w:pPr>
      <w:rPr>
        <w:rFonts w:hint="default"/>
        <w:lang w:val="zh-CN" w:eastAsia="zh-CN" w:bidi="zh-CN"/>
      </w:rPr>
    </w:lvl>
    <w:lvl w:ilvl="8" w:tentative="0">
      <w:start w:val="0"/>
      <w:numFmt w:val="bullet"/>
      <w:lvlText w:val="•"/>
      <w:lvlJc w:val="left"/>
      <w:pPr>
        <w:ind w:left="3414" w:hanging="241"/>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348" w:hanging="241"/>
        <w:jc w:val="left"/>
      </w:pPr>
      <w:rPr>
        <w:rFonts w:hint="default" w:ascii="仿宋_GB2312" w:hAnsi="仿宋_GB2312" w:eastAsia="仿宋_GB2312" w:cs="仿宋_GB2312"/>
        <w:w w:val="100"/>
        <w:sz w:val="22"/>
        <w:szCs w:val="22"/>
        <w:lang w:val="zh-CN" w:eastAsia="zh-CN" w:bidi="zh-CN"/>
      </w:rPr>
    </w:lvl>
    <w:lvl w:ilvl="1" w:tentative="0">
      <w:start w:val="0"/>
      <w:numFmt w:val="bullet"/>
      <w:lvlText w:val="•"/>
      <w:lvlJc w:val="left"/>
      <w:pPr>
        <w:ind w:left="730" w:hanging="241"/>
      </w:pPr>
      <w:rPr>
        <w:rFonts w:hint="default"/>
        <w:lang w:val="zh-CN" w:eastAsia="zh-CN" w:bidi="zh-CN"/>
      </w:rPr>
    </w:lvl>
    <w:lvl w:ilvl="2" w:tentative="0">
      <w:start w:val="0"/>
      <w:numFmt w:val="bullet"/>
      <w:lvlText w:val="•"/>
      <w:lvlJc w:val="left"/>
      <w:pPr>
        <w:ind w:left="1120" w:hanging="241"/>
      </w:pPr>
      <w:rPr>
        <w:rFonts w:hint="default"/>
        <w:lang w:val="zh-CN" w:eastAsia="zh-CN" w:bidi="zh-CN"/>
      </w:rPr>
    </w:lvl>
    <w:lvl w:ilvl="3" w:tentative="0">
      <w:start w:val="0"/>
      <w:numFmt w:val="bullet"/>
      <w:lvlText w:val="•"/>
      <w:lvlJc w:val="left"/>
      <w:pPr>
        <w:ind w:left="1510" w:hanging="241"/>
      </w:pPr>
      <w:rPr>
        <w:rFonts w:hint="default"/>
        <w:lang w:val="zh-CN" w:eastAsia="zh-CN" w:bidi="zh-CN"/>
      </w:rPr>
    </w:lvl>
    <w:lvl w:ilvl="4" w:tentative="0">
      <w:start w:val="0"/>
      <w:numFmt w:val="bullet"/>
      <w:lvlText w:val="•"/>
      <w:lvlJc w:val="left"/>
      <w:pPr>
        <w:ind w:left="1901" w:hanging="241"/>
      </w:pPr>
      <w:rPr>
        <w:rFonts w:hint="default"/>
        <w:lang w:val="zh-CN" w:eastAsia="zh-CN" w:bidi="zh-CN"/>
      </w:rPr>
    </w:lvl>
    <w:lvl w:ilvl="5" w:tentative="0">
      <w:start w:val="0"/>
      <w:numFmt w:val="bullet"/>
      <w:lvlText w:val="•"/>
      <w:lvlJc w:val="left"/>
      <w:pPr>
        <w:ind w:left="2291" w:hanging="241"/>
      </w:pPr>
      <w:rPr>
        <w:rFonts w:hint="default"/>
        <w:lang w:val="zh-CN" w:eastAsia="zh-CN" w:bidi="zh-CN"/>
      </w:rPr>
    </w:lvl>
    <w:lvl w:ilvl="6" w:tentative="0">
      <w:start w:val="0"/>
      <w:numFmt w:val="bullet"/>
      <w:lvlText w:val="•"/>
      <w:lvlJc w:val="left"/>
      <w:pPr>
        <w:ind w:left="2681" w:hanging="241"/>
      </w:pPr>
      <w:rPr>
        <w:rFonts w:hint="default"/>
        <w:lang w:val="zh-CN" w:eastAsia="zh-CN" w:bidi="zh-CN"/>
      </w:rPr>
    </w:lvl>
    <w:lvl w:ilvl="7" w:tentative="0">
      <w:start w:val="0"/>
      <w:numFmt w:val="bullet"/>
      <w:lvlText w:val="•"/>
      <w:lvlJc w:val="left"/>
      <w:pPr>
        <w:ind w:left="3072" w:hanging="241"/>
      </w:pPr>
      <w:rPr>
        <w:rFonts w:hint="default"/>
        <w:lang w:val="zh-CN" w:eastAsia="zh-CN" w:bidi="zh-CN"/>
      </w:rPr>
    </w:lvl>
    <w:lvl w:ilvl="8" w:tentative="0">
      <w:start w:val="0"/>
      <w:numFmt w:val="bullet"/>
      <w:lvlText w:val="•"/>
      <w:lvlJc w:val="left"/>
      <w:pPr>
        <w:ind w:left="3462" w:hanging="241"/>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112" w:hanging="241"/>
        <w:jc w:val="left"/>
      </w:pPr>
      <w:rPr>
        <w:rFonts w:hint="default" w:ascii="仿宋_GB2312" w:hAnsi="仿宋_GB2312" w:eastAsia="仿宋_GB2312" w:cs="仿宋_GB2312"/>
        <w:spacing w:val="-44"/>
        <w:w w:val="100"/>
        <w:sz w:val="22"/>
        <w:szCs w:val="22"/>
        <w:lang w:val="zh-CN" w:eastAsia="zh-CN" w:bidi="zh-CN"/>
      </w:rPr>
    </w:lvl>
    <w:lvl w:ilvl="1" w:tentative="0">
      <w:start w:val="0"/>
      <w:numFmt w:val="bullet"/>
      <w:lvlText w:val="•"/>
      <w:lvlJc w:val="left"/>
      <w:pPr>
        <w:ind w:left="532" w:hanging="241"/>
      </w:pPr>
      <w:rPr>
        <w:rFonts w:hint="default"/>
        <w:lang w:val="zh-CN" w:eastAsia="zh-CN" w:bidi="zh-CN"/>
      </w:rPr>
    </w:lvl>
    <w:lvl w:ilvl="2" w:tentative="0">
      <w:start w:val="0"/>
      <w:numFmt w:val="bullet"/>
      <w:lvlText w:val="•"/>
      <w:lvlJc w:val="left"/>
      <w:pPr>
        <w:ind w:left="944" w:hanging="241"/>
      </w:pPr>
      <w:rPr>
        <w:rFonts w:hint="default"/>
        <w:lang w:val="zh-CN" w:eastAsia="zh-CN" w:bidi="zh-CN"/>
      </w:rPr>
    </w:lvl>
    <w:lvl w:ilvl="3" w:tentative="0">
      <w:start w:val="0"/>
      <w:numFmt w:val="bullet"/>
      <w:lvlText w:val="•"/>
      <w:lvlJc w:val="left"/>
      <w:pPr>
        <w:ind w:left="1356" w:hanging="241"/>
      </w:pPr>
      <w:rPr>
        <w:rFonts w:hint="default"/>
        <w:lang w:val="zh-CN" w:eastAsia="zh-CN" w:bidi="zh-CN"/>
      </w:rPr>
    </w:lvl>
    <w:lvl w:ilvl="4" w:tentative="0">
      <w:start w:val="0"/>
      <w:numFmt w:val="bullet"/>
      <w:lvlText w:val="•"/>
      <w:lvlJc w:val="left"/>
      <w:pPr>
        <w:ind w:left="1769" w:hanging="241"/>
      </w:pPr>
      <w:rPr>
        <w:rFonts w:hint="default"/>
        <w:lang w:val="zh-CN" w:eastAsia="zh-CN" w:bidi="zh-CN"/>
      </w:rPr>
    </w:lvl>
    <w:lvl w:ilvl="5" w:tentative="0">
      <w:start w:val="0"/>
      <w:numFmt w:val="bullet"/>
      <w:lvlText w:val="•"/>
      <w:lvlJc w:val="left"/>
      <w:pPr>
        <w:ind w:left="2181" w:hanging="241"/>
      </w:pPr>
      <w:rPr>
        <w:rFonts w:hint="default"/>
        <w:lang w:val="zh-CN" w:eastAsia="zh-CN" w:bidi="zh-CN"/>
      </w:rPr>
    </w:lvl>
    <w:lvl w:ilvl="6" w:tentative="0">
      <w:start w:val="0"/>
      <w:numFmt w:val="bullet"/>
      <w:lvlText w:val="•"/>
      <w:lvlJc w:val="left"/>
      <w:pPr>
        <w:ind w:left="2593" w:hanging="241"/>
      </w:pPr>
      <w:rPr>
        <w:rFonts w:hint="default"/>
        <w:lang w:val="zh-CN" w:eastAsia="zh-CN" w:bidi="zh-CN"/>
      </w:rPr>
    </w:lvl>
    <w:lvl w:ilvl="7" w:tentative="0">
      <w:start w:val="0"/>
      <w:numFmt w:val="bullet"/>
      <w:lvlText w:val="•"/>
      <w:lvlJc w:val="left"/>
      <w:pPr>
        <w:ind w:left="3006" w:hanging="241"/>
      </w:pPr>
      <w:rPr>
        <w:rFonts w:hint="default"/>
        <w:lang w:val="zh-CN" w:eastAsia="zh-CN" w:bidi="zh-CN"/>
      </w:rPr>
    </w:lvl>
    <w:lvl w:ilvl="8" w:tentative="0">
      <w:start w:val="0"/>
      <w:numFmt w:val="bullet"/>
      <w:lvlText w:val="•"/>
      <w:lvlJc w:val="left"/>
      <w:pPr>
        <w:ind w:left="3418" w:hanging="241"/>
      </w:pPr>
      <w:rPr>
        <w:rFonts w:hint="default"/>
        <w:lang w:val="zh-CN" w:eastAsia="zh-CN" w:bidi="zh-CN"/>
      </w:rPr>
    </w:lvl>
  </w:abstractNum>
  <w:abstractNum w:abstractNumId="5">
    <w:nsid w:val="F4B5D9F5"/>
    <w:multiLevelType w:val="multilevel"/>
    <w:tmpl w:val="F4B5D9F5"/>
    <w:lvl w:ilvl="0" w:tentative="0">
      <w:start w:val="1"/>
      <w:numFmt w:val="decimal"/>
      <w:lvlText w:val="%1."/>
      <w:lvlJc w:val="left"/>
      <w:pPr>
        <w:ind w:left="107" w:hanging="241"/>
        <w:jc w:val="left"/>
      </w:pPr>
      <w:rPr>
        <w:rFonts w:hint="default" w:ascii="仿宋_GB2312" w:hAnsi="仿宋_GB2312" w:eastAsia="仿宋_GB2312" w:cs="仿宋_GB2312"/>
        <w:spacing w:val="-17"/>
        <w:w w:val="100"/>
        <w:sz w:val="22"/>
        <w:szCs w:val="22"/>
        <w:lang w:val="zh-CN" w:eastAsia="zh-CN" w:bidi="zh-CN"/>
      </w:rPr>
    </w:lvl>
    <w:lvl w:ilvl="1" w:tentative="0">
      <w:start w:val="0"/>
      <w:numFmt w:val="bullet"/>
      <w:lvlText w:val="•"/>
      <w:lvlJc w:val="left"/>
      <w:pPr>
        <w:ind w:left="514" w:hanging="241"/>
      </w:pPr>
      <w:rPr>
        <w:rFonts w:hint="default"/>
        <w:lang w:val="zh-CN" w:eastAsia="zh-CN" w:bidi="zh-CN"/>
      </w:rPr>
    </w:lvl>
    <w:lvl w:ilvl="2" w:tentative="0">
      <w:start w:val="0"/>
      <w:numFmt w:val="bullet"/>
      <w:lvlText w:val="•"/>
      <w:lvlJc w:val="left"/>
      <w:pPr>
        <w:ind w:left="928" w:hanging="241"/>
      </w:pPr>
      <w:rPr>
        <w:rFonts w:hint="default"/>
        <w:lang w:val="zh-CN" w:eastAsia="zh-CN" w:bidi="zh-CN"/>
      </w:rPr>
    </w:lvl>
    <w:lvl w:ilvl="3" w:tentative="0">
      <w:start w:val="0"/>
      <w:numFmt w:val="bullet"/>
      <w:lvlText w:val="•"/>
      <w:lvlJc w:val="left"/>
      <w:pPr>
        <w:ind w:left="1342" w:hanging="241"/>
      </w:pPr>
      <w:rPr>
        <w:rFonts w:hint="default"/>
        <w:lang w:val="zh-CN" w:eastAsia="zh-CN" w:bidi="zh-CN"/>
      </w:rPr>
    </w:lvl>
    <w:lvl w:ilvl="4" w:tentative="0">
      <w:start w:val="0"/>
      <w:numFmt w:val="bullet"/>
      <w:lvlText w:val="•"/>
      <w:lvlJc w:val="left"/>
      <w:pPr>
        <w:ind w:left="1757" w:hanging="241"/>
      </w:pPr>
      <w:rPr>
        <w:rFonts w:hint="default"/>
        <w:lang w:val="zh-CN" w:eastAsia="zh-CN" w:bidi="zh-CN"/>
      </w:rPr>
    </w:lvl>
    <w:lvl w:ilvl="5" w:tentative="0">
      <w:start w:val="0"/>
      <w:numFmt w:val="bullet"/>
      <w:lvlText w:val="•"/>
      <w:lvlJc w:val="left"/>
      <w:pPr>
        <w:ind w:left="2171" w:hanging="241"/>
      </w:pPr>
      <w:rPr>
        <w:rFonts w:hint="default"/>
        <w:lang w:val="zh-CN" w:eastAsia="zh-CN" w:bidi="zh-CN"/>
      </w:rPr>
    </w:lvl>
    <w:lvl w:ilvl="6" w:tentative="0">
      <w:start w:val="0"/>
      <w:numFmt w:val="bullet"/>
      <w:lvlText w:val="•"/>
      <w:lvlJc w:val="left"/>
      <w:pPr>
        <w:ind w:left="2585" w:hanging="241"/>
      </w:pPr>
      <w:rPr>
        <w:rFonts w:hint="default"/>
        <w:lang w:val="zh-CN" w:eastAsia="zh-CN" w:bidi="zh-CN"/>
      </w:rPr>
    </w:lvl>
    <w:lvl w:ilvl="7" w:tentative="0">
      <w:start w:val="0"/>
      <w:numFmt w:val="bullet"/>
      <w:lvlText w:val="•"/>
      <w:lvlJc w:val="left"/>
      <w:pPr>
        <w:ind w:left="3000" w:hanging="241"/>
      </w:pPr>
      <w:rPr>
        <w:rFonts w:hint="default"/>
        <w:lang w:val="zh-CN" w:eastAsia="zh-CN" w:bidi="zh-CN"/>
      </w:rPr>
    </w:lvl>
    <w:lvl w:ilvl="8" w:tentative="0">
      <w:start w:val="0"/>
      <w:numFmt w:val="bullet"/>
      <w:lvlText w:val="•"/>
      <w:lvlJc w:val="left"/>
      <w:pPr>
        <w:ind w:left="3414" w:hanging="241"/>
      </w:pPr>
      <w:rPr>
        <w:rFonts w:hint="default"/>
        <w:lang w:val="zh-CN" w:eastAsia="zh-CN" w:bidi="zh-CN"/>
      </w:rPr>
    </w:lvl>
  </w:abstractNum>
  <w:abstractNum w:abstractNumId="6">
    <w:nsid w:val="0053208E"/>
    <w:multiLevelType w:val="multilevel"/>
    <w:tmpl w:val="0053208E"/>
    <w:lvl w:ilvl="0" w:tentative="0">
      <w:start w:val="1"/>
      <w:numFmt w:val="decimal"/>
      <w:lvlText w:val="%1."/>
      <w:lvlJc w:val="left"/>
      <w:pPr>
        <w:ind w:left="112" w:hanging="241"/>
        <w:jc w:val="left"/>
      </w:pPr>
      <w:rPr>
        <w:rFonts w:hint="default" w:ascii="仿宋_GB2312" w:hAnsi="仿宋_GB2312" w:eastAsia="仿宋_GB2312" w:cs="仿宋_GB2312"/>
        <w:spacing w:val="-17"/>
        <w:w w:val="100"/>
        <w:sz w:val="22"/>
        <w:szCs w:val="22"/>
        <w:lang w:val="zh-CN" w:eastAsia="zh-CN" w:bidi="zh-CN"/>
      </w:rPr>
    </w:lvl>
    <w:lvl w:ilvl="1" w:tentative="0">
      <w:start w:val="0"/>
      <w:numFmt w:val="bullet"/>
      <w:lvlText w:val="•"/>
      <w:lvlJc w:val="left"/>
      <w:pPr>
        <w:ind w:left="532" w:hanging="241"/>
      </w:pPr>
      <w:rPr>
        <w:rFonts w:hint="default"/>
        <w:lang w:val="zh-CN" w:eastAsia="zh-CN" w:bidi="zh-CN"/>
      </w:rPr>
    </w:lvl>
    <w:lvl w:ilvl="2" w:tentative="0">
      <w:start w:val="0"/>
      <w:numFmt w:val="bullet"/>
      <w:lvlText w:val="•"/>
      <w:lvlJc w:val="left"/>
      <w:pPr>
        <w:ind w:left="944" w:hanging="241"/>
      </w:pPr>
      <w:rPr>
        <w:rFonts w:hint="default"/>
        <w:lang w:val="zh-CN" w:eastAsia="zh-CN" w:bidi="zh-CN"/>
      </w:rPr>
    </w:lvl>
    <w:lvl w:ilvl="3" w:tentative="0">
      <w:start w:val="0"/>
      <w:numFmt w:val="bullet"/>
      <w:lvlText w:val="•"/>
      <w:lvlJc w:val="left"/>
      <w:pPr>
        <w:ind w:left="1356" w:hanging="241"/>
      </w:pPr>
      <w:rPr>
        <w:rFonts w:hint="default"/>
        <w:lang w:val="zh-CN" w:eastAsia="zh-CN" w:bidi="zh-CN"/>
      </w:rPr>
    </w:lvl>
    <w:lvl w:ilvl="4" w:tentative="0">
      <w:start w:val="0"/>
      <w:numFmt w:val="bullet"/>
      <w:lvlText w:val="•"/>
      <w:lvlJc w:val="left"/>
      <w:pPr>
        <w:ind w:left="1769" w:hanging="241"/>
      </w:pPr>
      <w:rPr>
        <w:rFonts w:hint="default"/>
        <w:lang w:val="zh-CN" w:eastAsia="zh-CN" w:bidi="zh-CN"/>
      </w:rPr>
    </w:lvl>
    <w:lvl w:ilvl="5" w:tentative="0">
      <w:start w:val="0"/>
      <w:numFmt w:val="bullet"/>
      <w:lvlText w:val="•"/>
      <w:lvlJc w:val="left"/>
      <w:pPr>
        <w:ind w:left="2181" w:hanging="241"/>
      </w:pPr>
      <w:rPr>
        <w:rFonts w:hint="default"/>
        <w:lang w:val="zh-CN" w:eastAsia="zh-CN" w:bidi="zh-CN"/>
      </w:rPr>
    </w:lvl>
    <w:lvl w:ilvl="6" w:tentative="0">
      <w:start w:val="0"/>
      <w:numFmt w:val="bullet"/>
      <w:lvlText w:val="•"/>
      <w:lvlJc w:val="left"/>
      <w:pPr>
        <w:ind w:left="2593" w:hanging="241"/>
      </w:pPr>
      <w:rPr>
        <w:rFonts w:hint="default"/>
        <w:lang w:val="zh-CN" w:eastAsia="zh-CN" w:bidi="zh-CN"/>
      </w:rPr>
    </w:lvl>
    <w:lvl w:ilvl="7" w:tentative="0">
      <w:start w:val="0"/>
      <w:numFmt w:val="bullet"/>
      <w:lvlText w:val="•"/>
      <w:lvlJc w:val="left"/>
      <w:pPr>
        <w:ind w:left="3006" w:hanging="241"/>
      </w:pPr>
      <w:rPr>
        <w:rFonts w:hint="default"/>
        <w:lang w:val="zh-CN" w:eastAsia="zh-CN" w:bidi="zh-CN"/>
      </w:rPr>
    </w:lvl>
    <w:lvl w:ilvl="8" w:tentative="0">
      <w:start w:val="0"/>
      <w:numFmt w:val="bullet"/>
      <w:lvlText w:val="•"/>
      <w:lvlJc w:val="left"/>
      <w:pPr>
        <w:ind w:left="3418" w:hanging="241"/>
      </w:pPr>
      <w:rPr>
        <w:rFonts w:hint="default"/>
        <w:lang w:val="zh-CN" w:eastAsia="zh-CN" w:bidi="zh-CN"/>
      </w:rPr>
    </w:lvl>
  </w:abstractNum>
  <w:abstractNum w:abstractNumId="7">
    <w:nsid w:val="0248C179"/>
    <w:multiLevelType w:val="multilevel"/>
    <w:tmpl w:val="0248C179"/>
    <w:lvl w:ilvl="0" w:tentative="0">
      <w:start w:val="1"/>
      <w:numFmt w:val="decimal"/>
      <w:lvlText w:val="%1."/>
      <w:lvlJc w:val="left"/>
      <w:pPr>
        <w:ind w:left="107" w:hanging="241"/>
        <w:jc w:val="left"/>
      </w:pPr>
      <w:rPr>
        <w:rFonts w:hint="default" w:ascii="仿宋_GB2312" w:hAnsi="仿宋_GB2312" w:eastAsia="仿宋_GB2312" w:cs="仿宋_GB2312"/>
        <w:spacing w:val="-60"/>
        <w:w w:val="100"/>
        <w:sz w:val="22"/>
        <w:szCs w:val="22"/>
        <w:lang w:val="zh-CN" w:eastAsia="zh-CN" w:bidi="zh-CN"/>
      </w:rPr>
    </w:lvl>
    <w:lvl w:ilvl="1" w:tentative="0">
      <w:start w:val="0"/>
      <w:numFmt w:val="bullet"/>
      <w:lvlText w:val="•"/>
      <w:lvlJc w:val="left"/>
      <w:pPr>
        <w:ind w:left="514" w:hanging="241"/>
      </w:pPr>
      <w:rPr>
        <w:rFonts w:hint="default"/>
        <w:lang w:val="zh-CN" w:eastAsia="zh-CN" w:bidi="zh-CN"/>
      </w:rPr>
    </w:lvl>
    <w:lvl w:ilvl="2" w:tentative="0">
      <w:start w:val="0"/>
      <w:numFmt w:val="bullet"/>
      <w:lvlText w:val="•"/>
      <w:lvlJc w:val="left"/>
      <w:pPr>
        <w:ind w:left="928" w:hanging="241"/>
      </w:pPr>
      <w:rPr>
        <w:rFonts w:hint="default"/>
        <w:lang w:val="zh-CN" w:eastAsia="zh-CN" w:bidi="zh-CN"/>
      </w:rPr>
    </w:lvl>
    <w:lvl w:ilvl="3" w:tentative="0">
      <w:start w:val="0"/>
      <w:numFmt w:val="bullet"/>
      <w:lvlText w:val="•"/>
      <w:lvlJc w:val="left"/>
      <w:pPr>
        <w:ind w:left="1342" w:hanging="241"/>
      </w:pPr>
      <w:rPr>
        <w:rFonts w:hint="default"/>
        <w:lang w:val="zh-CN" w:eastAsia="zh-CN" w:bidi="zh-CN"/>
      </w:rPr>
    </w:lvl>
    <w:lvl w:ilvl="4" w:tentative="0">
      <w:start w:val="0"/>
      <w:numFmt w:val="bullet"/>
      <w:lvlText w:val="•"/>
      <w:lvlJc w:val="left"/>
      <w:pPr>
        <w:ind w:left="1757" w:hanging="241"/>
      </w:pPr>
      <w:rPr>
        <w:rFonts w:hint="default"/>
        <w:lang w:val="zh-CN" w:eastAsia="zh-CN" w:bidi="zh-CN"/>
      </w:rPr>
    </w:lvl>
    <w:lvl w:ilvl="5" w:tentative="0">
      <w:start w:val="0"/>
      <w:numFmt w:val="bullet"/>
      <w:lvlText w:val="•"/>
      <w:lvlJc w:val="left"/>
      <w:pPr>
        <w:ind w:left="2171" w:hanging="241"/>
      </w:pPr>
      <w:rPr>
        <w:rFonts w:hint="default"/>
        <w:lang w:val="zh-CN" w:eastAsia="zh-CN" w:bidi="zh-CN"/>
      </w:rPr>
    </w:lvl>
    <w:lvl w:ilvl="6" w:tentative="0">
      <w:start w:val="0"/>
      <w:numFmt w:val="bullet"/>
      <w:lvlText w:val="•"/>
      <w:lvlJc w:val="left"/>
      <w:pPr>
        <w:ind w:left="2585" w:hanging="241"/>
      </w:pPr>
      <w:rPr>
        <w:rFonts w:hint="default"/>
        <w:lang w:val="zh-CN" w:eastAsia="zh-CN" w:bidi="zh-CN"/>
      </w:rPr>
    </w:lvl>
    <w:lvl w:ilvl="7" w:tentative="0">
      <w:start w:val="0"/>
      <w:numFmt w:val="bullet"/>
      <w:lvlText w:val="•"/>
      <w:lvlJc w:val="left"/>
      <w:pPr>
        <w:ind w:left="3000" w:hanging="241"/>
      </w:pPr>
      <w:rPr>
        <w:rFonts w:hint="default"/>
        <w:lang w:val="zh-CN" w:eastAsia="zh-CN" w:bidi="zh-CN"/>
      </w:rPr>
    </w:lvl>
    <w:lvl w:ilvl="8" w:tentative="0">
      <w:start w:val="0"/>
      <w:numFmt w:val="bullet"/>
      <w:lvlText w:val="•"/>
      <w:lvlJc w:val="left"/>
      <w:pPr>
        <w:ind w:left="3414" w:hanging="241"/>
      </w:pPr>
      <w:rPr>
        <w:rFonts w:hint="default"/>
        <w:lang w:val="zh-CN" w:eastAsia="zh-CN" w:bidi="zh-CN"/>
      </w:rPr>
    </w:lvl>
  </w:abstractNum>
  <w:abstractNum w:abstractNumId="8">
    <w:nsid w:val="03D62ECE"/>
    <w:multiLevelType w:val="multilevel"/>
    <w:tmpl w:val="03D62ECE"/>
    <w:lvl w:ilvl="0" w:tentative="0">
      <w:start w:val="1"/>
      <w:numFmt w:val="decimal"/>
      <w:lvlText w:val="%1."/>
      <w:lvlJc w:val="left"/>
      <w:pPr>
        <w:ind w:left="107" w:hanging="241"/>
        <w:jc w:val="left"/>
      </w:pPr>
      <w:rPr>
        <w:rFonts w:hint="default" w:ascii="仿宋_GB2312" w:hAnsi="仿宋_GB2312" w:eastAsia="仿宋_GB2312" w:cs="仿宋_GB2312"/>
        <w:spacing w:val="-17"/>
        <w:w w:val="100"/>
        <w:sz w:val="22"/>
        <w:szCs w:val="22"/>
        <w:lang w:val="zh-CN" w:eastAsia="zh-CN" w:bidi="zh-CN"/>
      </w:rPr>
    </w:lvl>
    <w:lvl w:ilvl="1" w:tentative="0">
      <w:start w:val="0"/>
      <w:numFmt w:val="bullet"/>
      <w:lvlText w:val="•"/>
      <w:lvlJc w:val="left"/>
      <w:pPr>
        <w:ind w:left="514" w:hanging="241"/>
      </w:pPr>
      <w:rPr>
        <w:rFonts w:hint="default"/>
        <w:lang w:val="zh-CN" w:eastAsia="zh-CN" w:bidi="zh-CN"/>
      </w:rPr>
    </w:lvl>
    <w:lvl w:ilvl="2" w:tentative="0">
      <w:start w:val="0"/>
      <w:numFmt w:val="bullet"/>
      <w:lvlText w:val="•"/>
      <w:lvlJc w:val="left"/>
      <w:pPr>
        <w:ind w:left="928" w:hanging="241"/>
      </w:pPr>
      <w:rPr>
        <w:rFonts w:hint="default"/>
        <w:lang w:val="zh-CN" w:eastAsia="zh-CN" w:bidi="zh-CN"/>
      </w:rPr>
    </w:lvl>
    <w:lvl w:ilvl="3" w:tentative="0">
      <w:start w:val="0"/>
      <w:numFmt w:val="bullet"/>
      <w:lvlText w:val="•"/>
      <w:lvlJc w:val="left"/>
      <w:pPr>
        <w:ind w:left="1342" w:hanging="241"/>
      </w:pPr>
      <w:rPr>
        <w:rFonts w:hint="default"/>
        <w:lang w:val="zh-CN" w:eastAsia="zh-CN" w:bidi="zh-CN"/>
      </w:rPr>
    </w:lvl>
    <w:lvl w:ilvl="4" w:tentative="0">
      <w:start w:val="0"/>
      <w:numFmt w:val="bullet"/>
      <w:lvlText w:val="•"/>
      <w:lvlJc w:val="left"/>
      <w:pPr>
        <w:ind w:left="1757" w:hanging="241"/>
      </w:pPr>
      <w:rPr>
        <w:rFonts w:hint="default"/>
        <w:lang w:val="zh-CN" w:eastAsia="zh-CN" w:bidi="zh-CN"/>
      </w:rPr>
    </w:lvl>
    <w:lvl w:ilvl="5" w:tentative="0">
      <w:start w:val="0"/>
      <w:numFmt w:val="bullet"/>
      <w:lvlText w:val="•"/>
      <w:lvlJc w:val="left"/>
      <w:pPr>
        <w:ind w:left="2171" w:hanging="241"/>
      </w:pPr>
      <w:rPr>
        <w:rFonts w:hint="default"/>
        <w:lang w:val="zh-CN" w:eastAsia="zh-CN" w:bidi="zh-CN"/>
      </w:rPr>
    </w:lvl>
    <w:lvl w:ilvl="6" w:tentative="0">
      <w:start w:val="0"/>
      <w:numFmt w:val="bullet"/>
      <w:lvlText w:val="•"/>
      <w:lvlJc w:val="left"/>
      <w:pPr>
        <w:ind w:left="2585" w:hanging="241"/>
      </w:pPr>
      <w:rPr>
        <w:rFonts w:hint="default"/>
        <w:lang w:val="zh-CN" w:eastAsia="zh-CN" w:bidi="zh-CN"/>
      </w:rPr>
    </w:lvl>
    <w:lvl w:ilvl="7" w:tentative="0">
      <w:start w:val="0"/>
      <w:numFmt w:val="bullet"/>
      <w:lvlText w:val="•"/>
      <w:lvlJc w:val="left"/>
      <w:pPr>
        <w:ind w:left="3000" w:hanging="241"/>
      </w:pPr>
      <w:rPr>
        <w:rFonts w:hint="default"/>
        <w:lang w:val="zh-CN" w:eastAsia="zh-CN" w:bidi="zh-CN"/>
      </w:rPr>
    </w:lvl>
    <w:lvl w:ilvl="8" w:tentative="0">
      <w:start w:val="0"/>
      <w:numFmt w:val="bullet"/>
      <w:lvlText w:val="•"/>
      <w:lvlJc w:val="left"/>
      <w:pPr>
        <w:ind w:left="3414" w:hanging="241"/>
      </w:pPr>
      <w:rPr>
        <w:rFonts w:hint="default"/>
        <w:lang w:val="zh-CN" w:eastAsia="zh-CN" w:bidi="zh-CN"/>
      </w:rPr>
    </w:lvl>
  </w:abstractNum>
  <w:abstractNum w:abstractNumId="9">
    <w:nsid w:val="2470EC97"/>
    <w:multiLevelType w:val="multilevel"/>
    <w:tmpl w:val="2470EC97"/>
    <w:lvl w:ilvl="0" w:tentative="0">
      <w:start w:val="1"/>
      <w:numFmt w:val="decimal"/>
      <w:lvlText w:val="%1."/>
      <w:lvlJc w:val="left"/>
      <w:pPr>
        <w:ind w:left="107" w:hanging="241"/>
        <w:jc w:val="left"/>
      </w:pPr>
      <w:rPr>
        <w:rFonts w:hint="default" w:ascii="仿宋_GB2312" w:hAnsi="仿宋_GB2312" w:eastAsia="仿宋_GB2312" w:cs="仿宋_GB2312"/>
        <w:spacing w:val="-17"/>
        <w:w w:val="100"/>
        <w:sz w:val="22"/>
        <w:szCs w:val="22"/>
        <w:lang w:val="zh-CN" w:eastAsia="zh-CN" w:bidi="zh-CN"/>
      </w:rPr>
    </w:lvl>
    <w:lvl w:ilvl="1" w:tentative="0">
      <w:start w:val="0"/>
      <w:numFmt w:val="bullet"/>
      <w:lvlText w:val="•"/>
      <w:lvlJc w:val="left"/>
      <w:pPr>
        <w:ind w:left="514" w:hanging="241"/>
      </w:pPr>
      <w:rPr>
        <w:rFonts w:hint="default"/>
        <w:lang w:val="zh-CN" w:eastAsia="zh-CN" w:bidi="zh-CN"/>
      </w:rPr>
    </w:lvl>
    <w:lvl w:ilvl="2" w:tentative="0">
      <w:start w:val="0"/>
      <w:numFmt w:val="bullet"/>
      <w:lvlText w:val="•"/>
      <w:lvlJc w:val="left"/>
      <w:pPr>
        <w:ind w:left="928" w:hanging="241"/>
      </w:pPr>
      <w:rPr>
        <w:rFonts w:hint="default"/>
        <w:lang w:val="zh-CN" w:eastAsia="zh-CN" w:bidi="zh-CN"/>
      </w:rPr>
    </w:lvl>
    <w:lvl w:ilvl="3" w:tentative="0">
      <w:start w:val="0"/>
      <w:numFmt w:val="bullet"/>
      <w:lvlText w:val="•"/>
      <w:lvlJc w:val="left"/>
      <w:pPr>
        <w:ind w:left="1342" w:hanging="241"/>
      </w:pPr>
      <w:rPr>
        <w:rFonts w:hint="default"/>
        <w:lang w:val="zh-CN" w:eastAsia="zh-CN" w:bidi="zh-CN"/>
      </w:rPr>
    </w:lvl>
    <w:lvl w:ilvl="4" w:tentative="0">
      <w:start w:val="0"/>
      <w:numFmt w:val="bullet"/>
      <w:lvlText w:val="•"/>
      <w:lvlJc w:val="left"/>
      <w:pPr>
        <w:ind w:left="1757" w:hanging="241"/>
      </w:pPr>
      <w:rPr>
        <w:rFonts w:hint="default"/>
        <w:lang w:val="zh-CN" w:eastAsia="zh-CN" w:bidi="zh-CN"/>
      </w:rPr>
    </w:lvl>
    <w:lvl w:ilvl="5" w:tentative="0">
      <w:start w:val="0"/>
      <w:numFmt w:val="bullet"/>
      <w:lvlText w:val="•"/>
      <w:lvlJc w:val="left"/>
      <w:pPr>
        <w:ind w:left="2171" w:hanging="241"/>
      </w:pPr>
      <w:rPr>
        <w:rFonts w:hint="default"/>
        <w:lang w:val="zh-CN" w:eastAsia="zh-CN" w:bidi="zh-CN"/>
      </w:rPr>
    </w:lvl>
    <w:lvl w:ilvl="6" w:tentative="0">
      <w:start w:val="0"/>
      <w:numFmt w:val="bullet"/>
      <w:lvlText w:val="•"/>
      <w:lvlJc w:val="left"/>
      <w:pPr>
        <w:ind w:left="2585" w:hanging="241"/>
      </w:pPr>
      <w:rPr>
        <w:rFonts w:hint="default"/>
        <w:lang w:val="zh-CN" w:eastAsia="zh-CN" w:bidi="zh-CN"/>
      </w:rPr>
    </w:lvl>
    <w:lvl w:ilvl="7" w:tentative="0">
      <w:start w:val="0"/>
      <w:numFmt w:val="bullet"/>
      <w:lvlText w:val="•"/>
      <w:lvlJc w:val="left"/>
      <w:pPr>
        <w:ind w:left="3000" w:hanging="241"/>
      </w:pPr>
      <w:rPr>
        <w:rFonts w:hint="default"/>
        <w:lang w:val="zh-CN" w:eastAsia="zh-CN" w:bidi="zh-CN"/>
      </w:rPr>
    </w:lvl>
    <w:lvl w:ilvl="8" w:tentative="0">
      <w:start w:val="0"/>
      <w:numFmt w:val="bullet"/>
      <w:lvlText w:val="•"/>
      <w:lvlJc w:val="left"/>
      <w:pPr>
        <w:ind w:left="3414" w:hanging="241"/>
      </w:pPr>
      <w:rPr>
        <w:rFonts w:hint="default"/>
        <w:lang w:val="zh-CN" w:eastAsia="zh-CN" w:bidi="zh-CN"/>
      </w:rPr>
    </w:lvl>
  </w:abstractNum>
  <w:abstractNum w:abstractNumId="10">
    <w:nsid w:val="25B654F3"/>
    <w:multiLevelType w:val="multilevel"/>
    <w:tmpl w:val="25B654F3"/>
    <w:lvl w:ilvl="0" w:tentative="0">
      <w:start w:val="1"/>
      <w:numFmt w:val="decimal"/>
      <w:lvlText w:val="%1."/>
      <w:lvlJc w:val="left"/>
      <w:pPr>
        <w:ind w:left="107" w:hanging="241"/>
        <w:jc w:val="left"/>
      </w:pPr>
      <w:rPr>
        <w:rFonts w:hint="default" w:ascii="仿宋_GB2312" w:hAnsi="仿宋_GB2312" w:eastAsia="仿宋_GB2312" w:cs="仿宋_GB2312"/>
        <w:spacing w:val="-44"/>
        <w:w w:val="100"/>
        <w:sz w:val="22"/>
        <w:szCs w:val="22"/>
        <w:lang w:val="zh-CN" w:eastAsia="zh-CN" w:bidi="zh-CN"/>
      </w:rPr>
    </w:lvl>
    <w:lvl w:ilvl="1" w:tentative="0">
      <w:start w:val="0"/>
      <w:numFmt w:val="bullet"/>
      <w:lvlText w:val="•"/>
      <w:lvlJc w:val="left"/>
      <w:pPr>
        <w:ind w:left="514" w:hanging="241"/>
      </w:pPr>
      <w:rPr>
        <w:rFonts w:hint="default"/>
        <w:lang w:val="zh-CN" w:eastAsia="zh-CN" w:bidi="zh-CN"/>
      </w:rPr>
    </w:lvl>
    <w:lvl w:ilvl="2" w:tentative="0">
      <w:start w:val="0"/>
      <w:numFmt w:val="bullet"/>
      <w:lvlText w:val="•"/>
      <w:lvlJc w:val="left"/>
      <w:pPr>
        <w:ind w:left="928" w:hanging="241"/>
      </w:pPr>
      <w:rPr>
        <w:rFonts w:hint="default"/>
        <w:lang w:val="zh-CN" w:eastAsia="zh-CN" w:bidi="zh-CN"/>
      </w:rPr>
    </w:lvl>
    <w:lvl w:ilvl="3" w:tentative="0">
      <w:start w:val="0"/>
      <w:numFmt w:val="bullet"/>
      <w:lvlText w:val="•"/>
      <w:lvlJc w:val="left"/>
      <w:pPr>
        <w:ind w:left="1342" w:hanging="241"/>
      </w:pPr>
      <w:rPr>
        <w:rFonts w:hint="default"/>
        <w:lang w:val="zh-CN" w:eastAsia="zh-CN" w:bidi="zh-CN"/>
      </w:rPr>
    </w:lvl>
    <w:lvl w:ilvl="4" w:tentative="0">
      <w:start w:val="0"/>
      <w:numFmt w:val="bullet"/>
      <w:lvlText w:val="•"/>
      <w:lvlJc w:val="left"/>
      <w:pPr>
        <w:ind w:left="1757" w:hanging="241"/>
      </w:pPr>
      <w:rPr>
        <w:rFonts w:hint="default"/>
        <w:lang w:val="zh-CN" w:eastAsia="zh-CN" w:bidi="zh-CN"/>
      </w:rPr>
    </w:lvl>
    <w:lvl w:ilvl="5" w:tentative="0">
      <w:start w:val="0"/>
      <w:numFmt w:val="bullet"/>
      <w:lvlText w:val="•"/>
      <w:lvlJc w:val="left"/>
      <w:pPr>
        <w:ind w:left="2171" w:hanging="241"/>
      </w:pPr>
      <w:rPr>
        <w:rFonts w:hint="default"/>
        <w:lang w:val="zh-CN" w:eastAsia="zh-CN" w:bidi="zh-CN"/>
      </w:rPr>
    </w:lvl>
    <w:lvl w:ilvl="6" w:tentative="0">
      <w:start w:val="0"/>
      <w:numFmt w:val="bullet"/>
      <w:lvlText w:val="•"/>
      <w:lvlJc w:val="left"/>
      <w:pPr>
        <w:ind w:left="2585" w:hanging="241"/>
      </w:pPr>
      <w:rPr>
        <w:rFonts w:hint="default"/>
        <w:lang w:val="zh-CN" w:eastAsia="zh-CN" w:bidi="zh-CN"/>
      </w:rPr>
    </w:lvl>
    <w:lvl w:ilvl="7" w:tentative="0">
      <w:start w:val="0"/>
      <w:numFmt w:val="bullet"/>
      <w:lvlText w:val="•"/>
      <w:lvlJc w:val="left"/>
      <w:pPr>
        <w:ind w:left="3000" w:hanging="241"/>
      </w:pPr>
      <w:rPr>
        <w:rFonts w:hint="default"/>
        <w:lang w:val="zh-CN" w:eastAsia="zh-CN" w:bidi="zh-CN"/>
      </w:rPr>
    </w:lvl>
    <w:lvl w:ilvl="8" w:tentative="0">
      <w:start w:val="0"/>
      <w:numFmt w:val="bullet"/>
      <w:lvlText w:val="•"/>
      <w:lvlJc w:val="left"/>
      <w:pPr>
        <w:ind w:left="3414" w:hanging="241"/>
      </w:pPr>
      <w:rPr>
        <w:rFonts w:hint="default"/>
        <w:lang w:val="zh-CN" w:eastAsia="zh-CN" w:bidi="zh-CN"/>
      </w:rPr>
    </w:lvl>
  </w:abstractNum>
  <w:abstractNum w:abstractNumId="11">
    <w:nsid w:val="2A8F537B"/>
    <w:multiLevelType w:val="multilevel"/>
    <w:tmpl w:val="2A8F537B"/>
    <w:lvl w:ilvl="0" w:tentative="0">
      <w:start w:val="1"/>
      <w:numFmt w:val="decimal"/>
      <w:lvlText w:val="%1."/>
      <w:lvlJc w:val="left"/>
      <w:pPr>
        <w:ind w:left="107" w:hanging="241"/>
        <w:jc w:val="left"/>
      </w:pPr>
      <w:rPr>
        <w:rFonts w:hint="default" w:ascii="仿宋_GB2312" w:hAnsi="仿宋_GB2312" w:eastAsia="仿宋_GB2312" w:cs="仿宋_GB2312"/>
        <w:spacing w:val="-44"/>
        <w:w w:val="100"/>
        <w:sz w:val="22"/>
        <w:szCs w:val="22"/>
        <w:lang w:val="zh-CN" w:eastAsia="zh-CN" w:bidi="zh-CN"/>
      </w:rPr>
    </w:lvl>
    <w:lvl w:ilvl="1" w:tentative="0">
      <w:start w:val="0"/>
      <w:numFmt w:val="bullet"/>
      <w:lvlText w:val="•"/>
      <w:lvlJc w:val="left"/>
      <w:pPr>
        <w:ind w:left="514" w:hanging="241"/>
      </w:pPr>
      <w:rPr>
        <w:rFonts w:hint="default"/>
        <w:lang w:val="zh-CN" w:eastAsia="zh-CN" w:bidi="zh-CN"/>
      </w:rPr>
    </w:lvl>
    <w:lvl w:ilvl="2" w:tentative="0">
      <w:start w:val="0"/>
      <w:numFmt w:val="bullet"/>
      <w:lvlText w:val="•"/>
      <w:lvlJc w:val="left"/>
      <w:pPr>
        <w:ind w:left="928" w:hanging="241"/>
      </w:pPr>
      <w:rPr>
        <w:rFonts w:hint="default"/>
        <w:lang w:val="zh-CN" w:eastAsia="zh-CN" w:bidi="zh-CN"/>
      </w:rPr>
    </w:lvl>
    <w:lvl w:ilvl="3" w:tentative="0">
      <w:start w:val="0"/>
      <w:numFmt w:val="bullet"/>
      <w:lvlText w:val="•"/>
      <w:lvlJc w:val="left"/>
      <w:pPr>
        <w:ind w:left="1342" w:hanging="241"/>
      </w:pPr>
      <w:rPr>
        <w:rFonts w:hint="default"/>
        <w:lang w:val="zh-CN" w:eastAsia="zh-CN" w:bidi="zh-CN"/>
      </w:rPr>
    </w:lvl>
    <w:lvl w:ilvl="4" w:tentative="0">
      <w:start w:val="0"/>
      <w:numFmt w:val="bullet"/>
      <w:lvlText w:val="•"/>
      <w:lvlJc w:val="left"/>
      <w:pPr>
        <w:ind w:left="1757" w:hanging="241"/>
      </w:pPr>
      <w:rPr>
        <w:rFonts w:hint="default"/>
        <w:lang w:val="zh-CN" w:eastAsia="zh-CN" w:bidi="zh-CN"/>
      </w:rPr>
    </w:lvl>
    <w:lvl w:ilvl="5" w:tentative="0">
      <w:start w:val="0"/>
      <w:numFmt w:val="bullet"/>
      <w:lvlText w:val="•"/>
      <w:lvlJc w:val="left"/>
      <w:pPr>
        <w:ind w:left="2171" w:hanging="241"/>
      </w:pPr>
      <w:rPr>
        <w:rFonts w:hint="default"/>
        <w:lang w:val="zh-CN" w:eastAsia="zh-CN" w:bidi="zh-CN"/>
      </w:rPr>
    </w:lvl>
    <w:lvl w:ilvl="6" w:tentative="0">
      <w:start w:val="0"/>
      <w:numFmt w:val="bullet"/>
      <w:lvlText w:val="•"/>
      <w:lvlJc w:val="left"/>
      <w:pPr>
        <w:ind w:left="2585" w:hanging="241"/>
      </w:pPr>
      <w:rPr>
        <w:rFonts w:hint="default"/>
        <w:lang w:val="zh-CN" w:eastAsia="zh-CN" w:bidi="zh-CN"/>
      </w:rPr>
    </w:lvl>
    <w:lvl w:ilvl="7" w:tentative="0">
      <w:start w:val="0"/>
      <w:numFmt w:val="bullet"/>
      <w:lvlText w:val="•"/>
      <w:lvlJc w:val="left"/>
      <w:pPr>
        <w:ind w:left="3000" w:hanging="241"/>
      </w:pPr>
      <w:rPr>
        <w:rFonts w:hint="default"/>
        <w:lang w:val="zh-CN" w:eastAsia="zh-CN" w:bidi="zh-CN"/>
      </w:rPr>
    </w:lvl>
    <w:lvl w:ilvl="8" w:tentative="0">
      <w:start w:val="0"/>
      <w:numFmt w:val="bullet"/>
      <w:lvlText w:val="•"/>
      <w:lvlJc w:val="left"/>
      <w:pPr>
        <w:ind w:left="3414" w:hanging="241"/>
      </w:pPr>
      <w:rPr>
        <w:rFonts w:hint="default"/>
        <w:lang w:val="zh-CN" w:eastAsia="zh-CN" w:bidi="zh-CN"/>
      </w:rPr>
    </w:lvl>
  </w:abstractNum>
  <w:abstractNum w:abstractNumId="12">
    <w:nsid w:val="4D4DC07F"/>
    <w:multiLevelType w:val="multilevel"/>
    <w:tmpl w:val="4D4DC07F"/>
    <w:lvl w:ilvl="0" w:tentative="0">
      <w:start w:val="1"/>
      <w:numFmt w:val="decimal"/>
      <w:lvlText w:val="%1."/>
      <w:lvlJc w:val="left"/>
      <w:pPr>
        <w:ind w:left="107" w:hanging="241"/>
        <w:jc w:val="left"/>
      </w:pPr>
      <w:rPr>
        <w:rFonts w:hint="default" w:ascii="仿宋_GB2312" w:hAnsi="仿宋_GB2312" w:eastAsia="仿宋_GB2312" w:cs="仿宋_GB2312"/>
        <w:spacing w:val="-17"/>
        <w:w w:val="100"/>
        <w:sz w:val="22"/>
        <w:szCs w:val="22"/>
        <w:lang w:val="zh-CN" w:eastAsia="zh-CN" w:bidi="zh-CN"/>
      </w:rPr>
    </w:lvl>
    <w:lvl w:ilvl="1" w:tentative="0">
      <w:start w:val="0"/>
      <w:numFmt w:val="bullet"/>
      <w:lvlText w:val="•"/>
      <w:lvlJc w:val="left"/>
      <w:pPr>
        <w:ind w:left="514" w:hanging="241"/>
      </w:pPr>
      <w:rPr>
        <w:rFonts w:hint="default"/>
        <w:lang w:val="zh-CN" w:eastAsia="zh-CN" w:bidi="zh-CN"/>
      </w:rPr>
    </w:lvl>
    <w:lvl w:ilvl="2" w:tentative="0">
      <w:start w:val="0"/>
      <w:numFmt w:val="bullet"/>
      <w:lvlText w:val="•"/>
      <w:lvlJc w:val="left"/>
      <w:pPr>
        <w:ind w:left="928" w:hanging="241"/>
      </w:pPr>
      <w:rPr>
        <w:rFonts w:hint="default"/>
        <w:lang w:val="zh-CN" w:eastAsia="zh-CN" w:bidi="zh-CN"/>
      </w:rPr>
    </w:lvl>
    <w:lvl w:ilvl="3" w:tentative="0">
      <w:start w:val="0"/>
      <w:numFmt w:val="bullet"/>
      <w:lvlText w:val="•"/>
      <w:lvlJc w:val="left"/>
      <w:pPr>
        <w:ind w:left="1342" w:hanging="241"/>
      </w:pPr>
      <w:rPr>
        <w:rFonts w:hint="default"/>
        <w:lang w:val="zh-CN" w:eastAsia="zh-CN" w:bidi="zh-CN"/>
      </w:rPr>
    </w:lvl>
    <w:lvl w:ilvl="4" w:tentative="0">
      <w:start w:val="0"/>
      <w:numFmt w:val="bullet"/>
      <w:lvlText w:val="•"/>
      <w:lvlJc w:val="left"/>
      <w:pPr>
        <w:ind w:left="1757" w:hanging="241"/>
      </w:pPr>
      <w:rPr>
        <w:rFonts w:hint="default"/>
        <w:lang w:val="zh-CN" w:eastAsia="zh-CN" w:bidi="zh-CN"/>
      </w:rPr>
    </w:lvl>
    <w:lvl w:ilvl="5" w:tentative="0">
      <w:start w:val="0"/>
      <w:numFmt w:val="bullet"/>
      <w:lvlText w:val="•"/>
      <w:lvlJc w:val="left"/>
      <w:pPr>
        <w:ind w:left="2171" w:hanging="241"/>
      </w:pPr>
      <w:rPr>
        <w:rFonts w:hint="default"/>
        <w:lang w:val="zh-CN" w:eastAsia="zh-CN" w:bidi="zh-CN"/>
      </w:rPr>
    </w:lvl>
    <w:lvl w:ilvl="6" w:tentative="0">
      <w:start w:val="0"/>
      <w:numFmt w:val="bullet"/>
      <w:lvlText w:val="•"/>
      <w:lvlJc w:val="left"/>
      <w:pPr>
        <w:ind w:left="2585" w:hanging="241"/>
      </w:pPr>
      <w:rPr>
        <w:rFonts w:hint="default"/>
        <w:lang w:val="zh-CN" w:eastAsia="zh-CN" w:bidi="zh-CN"/>
      </w:rPr>
    </w:lvl>
    <w:lvl w:ilvl="7" w:tentative="0">
      <w:start w:val="0"/>
      <w:numFmt w:val="bullet"/>
      <w:lvlText w:val="•"/>
      <w:lvlJc w:val="left"/>
      <w:pPr>
        <w:ind w:left="3000" w:hanging="241"/>
      </w:pPr>
      <w:rPr>
        <w:rFonts w:hint="default"/>
        <w:lang w:val="zh-CN" w:eastAsia="zh-CN" w:bidi="zh-CN"/>
      </w:rPr>
    </w:lvl>
    <w:lvl w:ilvl="8" w:tentative="0">
      <w:start w:val="0"/>
      <w:numFmt w:val="bullet"/>
      <w:lvlText w:val="•"/>
      <w:lvlJc w:val="left"/>
      <w:pPr>
        <w:ind w:left="3414" w:hanging="241"/>
      </w:pPr>
      <w:rPr>
        <w:rFonts w:hint="default"/>
        <w:lang w:val="zh-CN" w:eastAsia="zh-CN" w:bidi="zh-CN"/>
      </w:rPr>
    </w:lvl>
  </w:abstractNum>
  <w:abstractNum w:abstractNumId="13">
    <w:nsid w:val="59ADCABA"/>
    <w:multiLevelType w:val="multilevel"/>
    <w:tmpl w:val="59ADCABA"/>
    <w:lvl w:ilvl="0" w:tentative="0">
      <w:start w:val="1"/>
      <w:numFmt w:val="decimal"/>
      <w:lvlText w:val="%1."/>
      <w:lvlJc w:val="left"/>
      <w:pPr>
        <w:ind w:left="107" w:hanging="241"/>
        <w:jc w:val="left"/>
      </w:pPr>
      <w:rPr>
        <w:rFonts w:hint="default" w:ascii="仿宋_GB2312" w:hAnsi="仿宋_GB2312" w:eastAsia="仿宋_GB2312" w:cs="仿宋_GB2312"/>
        <w:spacing w:val="-15"/>
        <w:w w:val="100"/>
        <w:sz w:val="22"/>
        <w:szCs w:val="22"/>
        <w:lang w:val="zh-CN" w:eastAsia="zh-CN" w:bidi="zh-CN"/>
      </w:rPr>
    </w:lvl>
    <w:lvl w:ilvl="1" w:tentative="0">
      <w:start w:val="0"/>
      <w:numFmt w:val="bullet"/>
      <w:lvlText w:val="•"/>
      <w:lvlJc w:val="left"/>
      <w:pPr>
        <w:ind w:left="514" w:hanging="241"/>
      </w:pPr>
      <w:rPr>
        <w:rFonts w:hint="default"/>
        <w:lang w:val="zh-CN" w:eastAsia="zh-CN" w:bidi="zh-CN"/>
      </w:rPr>
    </w:lvl>
    <w:lvl w:ilvl="2" w:tentative="0">
      <w:start w:val="0"/>
      <w:numFmt w:val="bullet"/>
      <w:lvlText w:val="•"/>
      <w:lvlJc w:val="left"/>
      <w:pPr>
        <w:ind w:left="928" w:hanging="241"/>
      </w:pPr>
      <w:rPr>
        <w:rFonts w:hint="default"/>
        <w:lang w:val="zh-CN" w:eastAsia="zh-CN" w:bidi="zh-CN"/>
      </w:rPr>
    </w:lvl>
    <w:lvl w:ilvl="3" w:tentative="0">
      <w:start w:val="0"/>
      <w:numFmt w:val="bullet"/>
      <w:lvlText w:val="•"/>
      <w:lvlJc w:val="left"/>
      <w:pPr>
        <w:ind w:left="1342" w:hanging="241"/>
      </w:pPr>
      <w:rPr>
        <w:rFonts w:hint="default"/>
        <w:lang w:val="zh-CN" w:eastAsia="zh-CN" w:bidi="zh-CN"/>
      </w:rPr>
    </w:lvl>
    <w:lvl w:ilvl="4" w:tentative="0">
      <w:start w:val="0"/>
      <w:numFmt w:val="bullet"/>
      <w:lvlText w:val="•"/>
      <w:lvlJc w:val="left"/>
      <w:pPr>
        <w:ind w:left="1757" w:hanging="241"/>
      </w:pPr>
      <w:rPr>
        <w:rFonts w:hint="default"/>
        <w:lang w:val="zh-CN" w:eastAsia="zh-CN" w:bidi="zh-CN"/>
      </w:rPr>
    </w:lvl>
    <w:lvl w:ilvl="5" w:tentative="0">
      <w:start w:val="0"/>
      <w:numFmt w:val="bullet"/>
      <w:lvlText w:val="•"/>
      <w:lvlJc w:val="left"/>
      <w:pPr>
        <w:ind w:left="2171" w:hanging="241"/>
      </w:pPr>
      <w:rPr>
        <w:rFonts w:hint="default"/>
        <w:lang w:val="zh-CN" w:eastAsia="zh-CN" w:bidi="zh-CN"/>
      </w:rPr>
    </w:lvl>
    <w:lvl w:ilvl="6" w:tentative="0">
      <w:start w:val="0"/>
      <w:numFmt w:val="bullet"/>
      <w:lvlText w:val="•"/>
      <w:lvlJc w:val="left"/>
      <w:pPr>
        <w:ind w:left="2585" w:hanging="241"/>
      </w:pPr>
      <w:rPr>
        <w:rFonts w:hint="default"/>
        <w:lang w:val="zh-CN" w:eastAsia="zh-CN" w:bidi="zh-CN"/>
      </w:rPr>
    </w:lvl>
    <w:lvl w:ilvl="7" w:tentative="0">
      <w:start w:val="0"/>
      <w:numFmt w:val="bullet"/>
      <w:lvlText w:val="•"/>
      <w:lvlJc w:val="left"/>
      <w:pPr>
        <w:ind w:left="3000" w:hanging="241"/>
      </w:pPr>
      <w:rPr>
        <w:rFonts w:hint="default"/>
        <w:lang w:val="zh-CN" w:eastAsia="zh-CN" w:bidi="zh-CN"/>
      </w:rPr>
    </w:lvl>
    <w:lvl w:ilvl="8" w:tentative="0">
      <w:start w:val="0"/>
      <w:numFmt w:val="bullet"/>
      <w:lvlText w:val="•"/>
      <w:lvlJc w:val="left"/>
      <w:pPr>
        <w:ind w:left="3414" w:hanging="241"/>
      </w:pPr>
      <w:rPr>
        <w:rFonts w:hint="default"/>
        <w:lang w:val="zh-CN" w:eastAsia="zh-CN" w:bidi="zh-CN"/>
      </w:rPr>
    </w:lvl>
  </w:abstractNum>
  <w:abstractNum w:abstractNumId="14">
    <w:nsid w:val="5A241D34"/>
    <w:multiLevelType w:val="multilevel"/>
    <w:tmpl w:val="5A241D34"/>
    <w:lvl w:ilvl="0" w:tentative="0">
      <w:start w:val="1"/>
      <w:numFmt w:val="decimal"/>
      <w:lvlText w:val="%1."/>
      <w:lvlJc w:val="left"/>
      <w:pPr>
        <w:ind w:left="107" w:hanging="241"/>
        <w:jc w:val="left"/>
      </w:pPr>
      <w:rPr>
        <w:rFonts w:hint="default" w:ascii="仿宋_GB2312" w:hAnsi="仿宋_GB2312" w:eastAsia="仿宋_GB2312" w:cs="仿宋_GB2312"/>
        <w:spacing w:val="-17"/>
        <w:w w:val="100"/>
        <w:sz w:val="22"/>
        <w:szCs w:val="22"/>
        <w:lang w:val="zh-CN" w:eastAsia="zh-CN" w:bidi="zh-CN"/>
      </w:rPr>
    </w:lvl>
    <w:lvl w:ilvl="1" w:tentative="0">
      <w:start w:val="0"/>
      <w:numFmt w:val="bullet"/>
      <w:lvlText w:val="•"/>
      <w:lvlJc w:val="left"/>
      <w:pPr>
        <w:ind w:left="514" w:hanging="241"/>
      </w:pPr>
      <w:rPr>
        <w:rFonts w:hint="default"/>
        <w:lang w:val="zh-CN" w:eastAsia="zh-CN" w:bidi="zh-CN"/>
      </w:rPr>
    </w:lvl>
    <w:lvl w:ilvl="2" w:tentative="0">
      <w:start w:val="0"/>
      <w:numFmt w:val="bullet"/>
      <w:lvlText w:val="•"/>
      <w:lvlJc w:val="left"/>
      <w:pPr>
        <w:ind w:left="928" w:hanging="241"/>
      </w:pPr>
      <w:rPr>
        <w:rFonts w:hint="default"/>
        <w:lang w:val="zh-CN" w:eastAsia="zh-CN" w:bidi="zh-CN"/>
      </w:rPr>
    </w:lvl>
    <w:lvl w:ilvl="3" w:tentative="0">
      <w:start w:val="0"/>
      <w:numFmt w:val="bullet"/>
      <w:lvlText w:val="•"/>
      <w:lvlJc w:val="left"/>
      <w:pPr>
        <w:ind w:left="1342" w:hanging="241"/>
      </w:pPr>
      <w:rPr>
        <w:rFonts w:hint="default"/>
        <w:lang w:val="zh-CN" w:eastAsia="zh-CN" w:bidi="zh-CN"/>
      </w:rPr>
    </w:lvl>
    <w:lvl w:ilvl="4" w:tentative="0">
      <w:start w:val="0"/>
      <w:numFmt w:val="bullet"/>
      <w:lvlText w:val="•"/>
      <w:lvlJc w:val="left"/>
      <w:pPr>
        <w:ind w:left="1757" w:hanging="241"/>
      </w:pPr>
      <w:rPr>
        <w:rFonts w:hint="default"/>
        <w:lang w:val="zh-CN" w:eastAsia="zh-CN" w:bidi="zh-CN"/>
      </w:rPr>
    </w:lvl>
    <w:lvl w:ilvl="5" w:tentative="0">
      <w:start w:val="0"/>
      <w:numFmt w:val="bullet"/>
      <w:lvlText w:val="•"/>
      <w:lvlJc w:val="left"/>
      <w:pPr>
        <w:ind w:left="2171" w:hanging="241"/>
      </w:pPr>
      <w:rPr>
        <w:rFonts w:hint="default"/>
        <w:lang w:val="zh-CN" w:eastAsia="zh-CN" w:bidi="zh-CN"/>
      </w:rPr>
    </w:lvl>
    <w:lvl w:ilvl="6" w:tentative="0">
      <w:start w:val="0"/>
      <w:numFmt w:val="bullet"/>
      <w:lvlText w:val="•"/>
      <w:lvlJc w:val="left"/>
      <w:pPr>
        <w:ind w:left="2585" w:hanging="241"/>
      </w:pPr>
      <w:rPr>
        <w:rFonts w:hint="default"/>
        <w:lang w:val="zh-CN" w:eastAsia="zh-CN" w:bidi="zh-CN"/>
      </w:rPr>
    </w:lvl>
    <w:lvl w:ilvl="7" w:tentative="0">
      <w:start w:val="0"/>
      <w:numFmt w:val="bullet"/>
      <w:lvlText w:val="•"/>
      <w:lvlJc w:val="left"/>
      <w:pPr>
        <w:ind w:left="3000" w:hanging="241"/>
      </w:pPr>
      <w:rPr>
        <w:rFonts w:hint="default"/>
        <w:lang w:val="zh-CN" w:eastAsia="zh-CN" w:bidi="zh-CN"/>
      </w:rPr>
    </w:lvl>
    <w:lvl w:ilvl="8" w:tentative="0">
      <w:start w:val="0"/>
      <w:numFmt w:val="bullet"/>
      <w:lvlText w:val="•"/>
      <w:lvlJc w:val="left"/>
      <w:pPr>
        <w:ind w:left="3414" w:hanging="241"/>
      </w:pPr>
      <w:rPr>
        <w:rFonts w:hint="default"/>
        <w:lang w:val="zh-CN" w:eastAsia="zh-CN" w:bidi="zh-CN"/>
      </w:rPr>
    </w:lvl>
  </w:abstractNum>
  <w:abstractNum w:abstractNumId="15">
    <w:nsid w:val="72183CF9"/>
    <w:multiLevelType w:val="multilevel"/>
    <w:tmpl w:val="72183CF9"/>
    <w:lvl w:ilvl="0" w:tentative="0">
      <w:start w:val="1"/>
      <w:numFmt w:val="decimal"/>
      <w:lvlText w:val="%1."/>
      <w:lvlJc w:val="left"/>
      <w:pPr>
        <w:ind w:left="107" w:hanging="241"/>
        <w:jc w:val="left"/>
      </w:pPr>
      <w:rPr>
        <w:rFonts w:hint="default" w:ascii="仿宋_GB2312" w:hAnsi="仿宋_GB2312" w:eastAsia="仿宋_GB2312" w:cs="仿宋_GB2312"/>
        <w:spacing w:val="-22"/>
        <w:w w:val="100"/>
        <w:sz w:val="22"/>
        <w:szCs w:val="22"/>
        <w:lang w:val="zh-CN" w:eastAsia="zh-CN" w:bidi="zh-CN"/>
      </w:rPr>
    </w:lvl>
    <w:lvl w:ilvl="1" w:tentative="0">
      <w:start w:val="0"/>
      <w:numFmt w:val="bullet"/>
      <w:lvlText w:val="•"/>
      <w:lvlJc w:val="left"/>
      <w:pPr>
        <w:ind w:left="514" w:hanging="241"/>
      </w:pPr>
      <w:rPr>
        <w:rFonts w:hint="default"/>
        <w:lang w:val="zh-CN" w:eastAsia="zh-CN" w:bidi="zh-CN"/>
      </w:rPr>
    </w:lvl>
    <w:lvl w:ilvl="2" w:tentative="0">
      <w:start w:val="0"/>
      <w:numFmt w:val="bullet"/>
      <w:lvlText w:val="•"/>
      <w:lvlJc w:val="left"/>
      <w:pPr>
        <w:ind w:left="928" w:hanging="241"/>
      </w:pPr>
      <w:rPr>
        <w:rFonts w:hint="default"/>
        <w:lang w:val="zh-CN" w:eastAsia="zh-CN" w:bidi="zh-CN"/>
      </w:rPr>
    </w:lvl>
    <w:lvl w:ilvl="3" w:tentative="0">
      <w:start w:val="0"/>
      <w:numFmt w:val="bullet"/>
      <w:lvlText w:val="•"/>
      <w:lvlJc w:val="left"/>
      <w:pPr>
        <w:ind w:left="1342" w:hanging="241"/>
      </w:pPr>
      <w:rPr>
        <w:rFonts w:hint="default"/>
        <w:lang w:val="zh-CN" w:eastAsia="zh-CN" w:bidi="zh-CN"/>
      </w:rPr>
    </w:lvl>
    <w:lvl w:ilvl="4" w:tentative="0">
      <w:start w:val="0"/>
      <w:numFmt w:val="bullet"/>
      <w:lvlText w:val="•"/>
      <w:lvlJc w:val="left"/>
      <w:pPr>
        <w:ind w:left="1757" w:hanging="241"/>
      </w:pPr>
      <w:rPr>
        <w:rFonts w:hint="default"/>
        <w:lang w:val="zh-CN" w:eastAsia="zh-CN" w:bidi="zh-CN"/>
      </w:rPr>
    </w:lvl>
    <w:lvl w:ilvl="5" w:tentative="0">
      <w:start w:val="0"/>
      <w:numFmt w:val="bullet"/>
      <w:lvlText w:val="•"/>
      <w:lvlJc w:val="left"/>
      <w:pPr>
        <w:ind w:left="2171" w:hanging="241"/>
      </w:pPr>
      <w:rPr>
        <w:rFonts w:hint="default"/>
        <w:lang w:val="zh-CN" w:eastAsia="zh-CN" w:bidi="zh-CN"/>
      </w:rPr>
    </w:lvl>
    <w:lvl w:ilvl="6" w:tentative="0">
      <w:start w:val="0"/>
      <w:numFmt w:val="bullet"/>
      <w:lvlText w:val="•"/>
      <w:lvlJc w:val="left"/>
      <w:pPr>
        <w:ind w:left="2585" w:hanging="241"/>
      </w:pPr>
      <w:rPr>
        <w:rFonts w:hint="default"/>
        <w:lang w:val="zh-CN" w:eastAsia="zh-CN" w:bidi="zh-CN"/>
      </w:rPr>
    </w:lvl>
    <w:lvl w:ilvl="7" w:tentative="0">
      <w:start w:val="0"/>
      <w:numFmt w:val="bullet"/>
      <w:lvlText w:val="•"/>
      <w:lvlJc w:val="left"/>
      <w:pPr>
        <w:ind w:left="3000" w:hanging="241"/>
      </w:pPr>
      <w:rPr>
        <w:rFonts w:hint="default"/>
        <w:lang w:val="zh-CN" w:eastAsia="zh-CN" w:bidi="zh-CN"/>
      </w:rPr>
    </w:lvl>
    <w:lvl w:ilvl="8" w:tentative="0">
      <w:start w:val="0"/>
      <w:numFmt w:val="bullet"/>
      <w:lvlText w:val="•"/>
      <w:lvlJc w:val="left"/>
      <w:pPr>
        <w:ind w:left="3414" w:hanging="241"/>
      </w:pPr>
      <w:rPr>
        <w:rFonts w:hint="default"/>
        <w:lang w:val="zh-CN" w:eastAsia="zh-CN" w:bidi="zh-CN"/>
      </w:rPr>
    </w:lvl>
  </w:abstractNum>
  <w:num w:numId="1">
    <w:abstractNumId w:val="6"/>
  </w:num>
  <w:num w:numId="2">
    <w:abstractNumId w:val="4"/>
  </w:num>
  <w:num w:numId="3">
    <w:abstractNumId w:val="13"/>
  </w:num>
  <w:num w:numId="4">
    <w:abstractNumId w:val="2"/>
  </w:num>
  <w:num w:numId="5">
    <w:abstractNumId w:val="1"/>
  </w:num>
  <w:num w:numId="6">
    <w:abstractNumId w:val="8"/>
  </w:num>
  <w:num w:numId="7">
    <w:abstractNumId w:val="10"/>
  </w:num>
  <w:num w:numId="8">
    <w:abstractNumId w:val="15"/>
  </w:num>
  <w:num w:numId="9">
    <w:abstractNumId w:val="7"/>
  </w:num>
  <w:num w:numId="10">
    <w:abstractNumId w:val="0"/>
  </w:num>
  <w:num w:numId="11">
    <w:abstractNumId w:val="11"/>
  </w:num>
  <w:num w:numId="12">
    <w:abstractNumId w:val="14"/>
  </w:num>
  <w:num w:numId="13">
    <w:abstractNumId w:val="3"/>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404FA"/>
    <w:rsid w:val="15427EB8"/>
    <w:rsid w:val="1BF93FF9"/>
    <w:rsid w:val="272670EA"/>
    <w:rsid w:val="3416220D"/>
    <w:rsid w:val="3B6A71F5"/>
    <w:rsid w:val="3DDA6617"/>
    <w:rsid w:val="5EEE1AE3"/>
    <w:rsid w:val="7F2404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2020-01-09T05:50:00Z</dcterms:created>
  <dc:creator>管理员</dc:creator>
  <cp:lastModifiedBy>陈江娇</cp:lastModifiedBy>
  <cp:lastPrinted>2020-03-23T22:47:00Z</cp:lastPrinted>
  <dcterms:modified xsi:type="dcterms:W3CDTF">2020-03-25T17:17:04Z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Acrobat PDFMaker 15 Word 版</vt:lpwstr>
  </property>
  <property fmtid="{D5CDD505-2E9C-101B-9397-08002B2CF9AE}" pid="4" name="LastSaved">
    <vt:filetime>2020-01-09T00:00:00Z</vt:filetime>
  </property>
  <property fmtid="{D5CDD505-2E9C-101B-9397-08002B2CF9AE}" pid="5" name="KSOProductBuildVer">
    <vt:lpwstr>2052-11.1.0.9440</vt:lpwstr>
  </property>
</Properties>
</file>