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C7" w:rsidRDefault="00677576">
      <w:pPr>
        <w:pStyle w:val="1"/>
        <w:jc w:val="center"/>
      </w:pPr>
      <w:r>
        <w:rPr>
          <w:rFonts w:hint="eastAsia"/>
        </w:rPr>
        <w:t>拆违工程费</w:t>
      </w:r>
      <w:r w:rsidR="00BA2092">
        <w:rPr>
          <w:rFonts w:hint="eastAsia"/>
        </w:rPr>
        <w:t>用</w:t>
      </w:r>
      <w:r w:rsidR="00AC079C">
        <w:rPr>
          <w:rFonts w:hint="eastAsia"/>
        </w:rPr>
        <w:t>参考</w:t>
      </w:r>
      <w:bookmarkStart w:id="0" w:name="_GoBack"/>
      <w:bookmarkEnd w:id="0"/>
      <w:r>
        <w:rPr>
          <w:rFonts w:hint="eastAsia"/>
        </w:rPr>
        <w:t>指标</w:t>
      </w:r>
    </w:p>
    <w:p w:rsidR="00FC1BC7" w:rsidRDefault="005F5AA3" w:rsidP="005801FC">
      <w:pPr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5F5AA3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（征求意见稿）</w:t>
      </w:r>
    </w:p>
    <w:p w:rsidR="005801FC" w:rsidRPr="005801FC" w:rsidRDefault="005801FC" w:rsidP="005801FC">
      <w:pPr>
        <w:pStyle w:val="a0"/>
      </w:pPr>
    </w:p>
    <w:p w:rsidR="00FC1BC7" w:rsidRDefault="00677576">
      <w:pPr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针对我市各县市区拆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违工作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资金管理现行标准不一、部分地区用度不规范的情况，为更好地加强拆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经费管理，控制拆违成本，降低廉政风险，结合我市实际，形成标准化支出,现提供拆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费用指标供各县市区参考。各县市区根据参考指标，结合实际，具体分析，出台本地区拆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费用指标，指导规范本地区拆违工作。</w:t>
      </w:r>
    </w:p>
    <w:p w:rsidR="00FC1BC7" w:rsidRDefault="00677576">
      <w:pPr>
        <w:adjustRightInd w:val="0"/>
        <w:snapToGrid w:val="0"/>
        <w:spacing w:line="360" w:lineRule="auto"/>
        <w:ind w:firstLineChars="200" w:firstLine="640"/>
        <w:rPr>
          <w:rStyle w:val="NormalCharacter"/>
          <w:rFonts w:ascii="黑体" w:eastAsia="黑体" w:hAnsi="黑体" w:cs="仿宋_GB2312"/>
          <w:sz w:val="32"/>
          <w:szCs w:val="32"/>
        </w:rPr>
      </w:pPr>
      <w:r>
        <w:rPr>
          <w:rStyle w:val="NormalCharacter"/>
          <w:rFonts w:ascii="黑体" w:eastAsia="黑体" w:hAnsi="黑体" w:cs="仿宋_GB2312" w:hint="eastAsia"/>
          <w:sz w:val="32"/>
          <w:szCs w:val="32"/>
        </w:rPr>
        <w:t>一、指标编制方法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（一）定额测算法。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套用浙江省建筑装饰工程2018定额，测算某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样本违建厂房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，得出的拆除造价和综合平均面积单价（包含清运、税费等），远超各地拆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违实际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平均成本。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（二）样本分析法。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选取温岭市、玉环市、椒江区三个相对拆违总量大、工作完成情况好的县市区，采集相关乡镇街道近年拆违样本，样本数量尽量多，类型以普遍大众型为主，特殊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例为辅。在核实相关数据、招投标形式等前提下，对采集的数据进行分析。发现由于各县市区违章规模、拆违方案、政策处理、规范程度、计价水平等俱有不同，拆违均价差异较大。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（三）市场询价法。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目前各县市区具体拆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违工作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多以政府采购形式进行招标，即事先约定各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类拆违所需人材机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的价格，投以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下浮率中标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，中标单位以本地挂靠资质单位为主。通过各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lastRenderedPageBreak/>
        <w:t>渠道询价，各地拆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违公司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的报价也存在较大差异。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（四）综合分析法。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1.三改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一拆工作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经过近10年的推进，力度不断加大、体制不断完善，民众对拆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违工作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认知度和配合度已较高，拆违不应过于考虑政策处理、方案协调影响而导致人机窝工等造成成本增高的情况。2.目前的存量违章，普遍违章规模不大、分布较为零散，拆除难度较前增大，拆除技术成本相对增高。3.各地拆后残值处理、垃圾清运处置等方式存在不同，难以统一，造成整体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违成本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差异明显，但拆除工程单项费用应当类似。基于以上实际综合考虑，最后以“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违章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方案”的原则，合理安排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人材机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的量，结合各地区反馈和市场询价，制定拆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费用参考指标（见附件1），规范统一我市拆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本身的费用支出。</w:t>
      </w:r>
    </w:p>
    <w:p w:rsidR="00FC1BC7" w:rsidRDefault="00677576">
      <w:pPr>
        <w:adjustRightInd w:val="0"/>
        <w:snapToGrid w:val="0"/>
        <w:spacing w:line="360" w:lineRule="auto"/>
        <w:ind w:firstLineChars="200" w:firstLine="640"/>
        <w:rPr>
          <w:rStyle w:val="NormalCharacter"/>
          <w:rFonts w:ascii="黑体" w:eastAsia="黑体" w:hAnsi="黑体" w:cs="仿宋_GB2312"/>
          <w:sz w:val="32"/>
          <w:szCs w:val="32"/>
        </w:rPr>
      </w:pPr>
      <w:r>
        <w:rPr>
          <w:rStyle w:val="NormalCharacter"/>
          <w:rFonts w:ascii="黑体" w:eastAsia="黑体" w:hAnsi="黑体" w:cs="仿宋_GB2312" w:hint="eastAsia"/>
          <w:sz w:val="32"/>
          <w:szCs w:val="32"/>
        </w:rPr>
        <w:t>二、指标使用说明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（一）使用目的。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费用参考指标建设，是基于政府投资预算管理的需要，主要为部门编制预算、审核预算、控制监管提供参考依据和衡量尺度。</w:t>
      </w:r>
    </w:p>
    <w:p w:rsidR="00FC1BC7" w:rsidRDefault="00677576" w:rsidP="00623DA5">
      <w:pPr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（二）费用组成。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违费用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主要包括：工作性经费、拆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费、残值处理费、垃圾清运及处置费、其他费用（监理费用、预算审计费用、安保维稳费用、执法工具采购费用、餐补费用等）。本次指标仅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列拆违工程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费用。其余费用指标各县市区根据现有标准，结合实际综合确定。</w:t>
      </w:r>
    </w:p>
    <w:p w:rsidR="00FC1BC7" w:rsidRDefault="00677576">
      <w:pPr>
        <w:adjustRightInd w:val="0"/>
        <w:snapToGrid w:val="0"/>
        <w:spacing w:line="360" w:lineRule="auto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以下费用未列入指标原因及执行说明：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1.工作性经费。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各地当前已有相关标准，可继续参照执行。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2.残值处理费。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由于各县市区具体政策及违章结构、规模等差异，房屋拆除后残值处理方式各有不同，有部分归还原主的，有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以之抵拆除费用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的，有作为建筑垃圾需清运处置的，无法统一指标，因此该项未列入本指标。各地区根据实际，需残值利用的做好残值率的评估，需清运处置的参照相关标准计算后执行。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3.垃圾清运及处置费。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由于各地垃圾处置方法差异较大、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每处违建拆后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清运处置方案俱有不同，且部分地区已有相关处置费用标准，因此该项未列入本指标。各地拆后清理，应结合年度拆违计划，确定清运和处置总体方案，以具体需运输总量和总距离，参照当地建筑垃圾清运和处置费用标准执行。</w:t>
      </w:r>
    </w:p>
    <w:p w:rsidR="00FC1BC7" w:rsidRDefault="00677576" w:rsidP="00623DA5">
      <w:pPr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4.其他费用。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各地可根据实际情况，以县市区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改拆主管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部门统一确定本地区其他相关费用标准。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（三）价格参考。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考虑到拆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具体情况复杂，突发情况较多，因此在费用指标外，罗列相关零星台班价格供各地参考（见附件2）。由于各地取费标准有所不同，具体各县市区拆违零星台班价格建议由当地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改拆主管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部门定期委托专业评估机构，根据相关规范、结合本地实际制定后公布实施。</w:t>
      </w:r>
    </w:p>
    <w:p w:rsidR="00FC1BC7" w:rsidRDefault="00677576">
      <w:pPr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黑体" w:eastAsia="黑体" w:hAnsi="黑体" w:cs="仿宋_GB2312" w:hint="eastAsia"/>
          <w:sz w:val="32"/>
          <w:szCs w:val="32"/>
        </w:rPr>
        <w:t>三、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相关工作要求</w:t>
      </w:r>
    </w:p>
    <w:p w:rsidR="00FC1BC7" w:rsidRDefault="00677576">
      <w:pPr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各县市区在规范本地区拆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违费用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指标的同时，应做好以下工作要求：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lastRenderedPageBreak/>
        <w:t>（一）加强事前控制。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一是制定拆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违资金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管理办法，具体包括：审批程序、支出管理、合同管理、会计核算、审计审价等。二是编制年度拆违预算，具体根据拆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违费用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参考指标并结合实际。三是将预算执行情况纳入“三改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拆”绩效目标考核。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（二）加强事中控制。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一是强化拆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管理，点位拆除做好工程组织设计，确定拆除及后续处置方案：拆前明确所需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人材机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量，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拆中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专人负责清对并核实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人材机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使用量，拆后做好详细台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账记录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和归档。二是规范结算，建议采用一点一结，即每拆除一处（或一宗）、对该处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人材机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使用量进行结算。三是广泛利用数字管理，建议完善拆违数字化系统，设置成本预警区间，加大数据控制监管。</w:t>
      </w:r>
    </w:p>
    <w:p w:rsidR="00FC1BC7" w:rsidRDefault="00677576" w:rsidP="00623DA5">
      <w:pPr>
        <w:adjustRightInd w:val="0"/>
        <w:snapToGrid w:val="0"/>
        <w:spacing w:line="360" w:lineRule="auto"/>
        <w:ind w:firstLineChars="200" w:firstLine="643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楷体_GB2312" w:eastAsia="楷体_GB2312" w:hAnsi="仿宋_GB2312" w:cs="仿宋_GB2312" w:hint="eastAsia"/>
          <w:b/>
          <w:sz w:val="32"/>
          <w:szCs w:val="32"/>
        </w:rPr>
        <w:t>（三）加强事后控制。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一是做好工程审计，项目通过验收后，及时委托符合规定的中介审价机构进行审计并上报主管部门。二是做好绩效评价，各地对拆违审计结果进行资金使用绩效评价，指导规范本地区拆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违行业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的成本控制。</w:t>
      </w:r>
    </w:p>
    <w:p w:rsidR="00FC1BC7" w:rsidRDefault="00FC1BC7">
      <w:pPr>
        <w:adjustRightInd w:val="0"/>
        <w:snapToGrid w:val="0"/>
        <w:spacing w:line="360" w:lineRule="auto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FC1BC7" w:rsidRDefault="00677576">
      <w:pPr>
        <w:adjustRightInd w:val="0"/>
        <w:snapToGrid w:val="0"/>
        <w:spacing w:line="360" w:lineRule="auto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附件：1.拆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费用指标参考</w:t>
      </w:r>
    </w:p>
    <w:p w:rsidR="00FC1BC7" w:rsidRDefault="00677576">
      <w:pPr>
        <w:adjustRightInd w:val="0"/>
        <w:snapToGrid w:val="0"/>
        <w:spacing w:line="360" w:lineRule="auto"/>
        <w:ind w:firstLineChars="500" w:firstLine="160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2.拆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违工程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零星台班价格参考</w:t>
      </w:r>
    </w:p>
    <w:p w:rsidR="00FC1BC7" w:rsidRDefault="00FC1BC7">
      <w:pPr>
        <w:adjustRightInd w:val="0"/>
        <w:snapToGrid w:val="0"/>
        <w:spacing w:line="360" w:lineRule="auto"/>
        <w:ind w:leftChars="760" w:left="2236" w:hangingChars="200" w:hanging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FC1BC7" w:rsidRDefault="00FC1BC7">
      <w:pPr>
        <w:pStyle w:val="a0"/>
        <w:adjustRightInd w:val="0"/>
        <w:snapToGrid w:val="0"/>
        <w:spacing w:before="0" w:after="0" w:line="360" w:lineRule="auto"/>
        <w:ind w:firstLine="200"/>
        <w:jc w:val="both"/>
        <w:outlineLvl w:val="9"/>
      </w:pPr>
    </w:p>
    <w:p w:rsidR="00FC1BC7" w:rsidRDefault="00FC1BC7">
      <w:pPr>
        <w:pStyle w:val="a0"/>
        <w:jc w:val="both"/>
        <w:rPr>
          <w:rStyle w:val="NormalCharacter"/>
          <w:rFonts w:ascii="仿宋_GB2312" w:eastAsia="仿宋_GB2312" w:hAnsi="仿宋_GB2312" w:cs="仿宋_GB2312"/>
        </w:rPr>
      </w:pPr>
    </w:p>
    <w:p w:rsidR="00FC1BC7" w:rsidRDefault="00FC1BC7">
      <w:pPr>
        <w:rPr>
          <w:rFonts w:ascii="仿宋_GB2312" w:eastAsia="仿宋_GB2312"/>
          <w:sz w:val="32"/>
          <w:szCs w:val="32"/>
        </w:rPr>
      </w:pPr>
    </w:p>
    <w:p w:rsidR="00FC1BC7" w:rsidRDefault="006775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FC1BC7" w:rsidRDefault="0067757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拆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违工程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费用指标参考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1432"/>
        <w:gridCol w:w="4185"/>
        <w:gridCol w:w="803"/>
        <w:gridCol w:w="996"/>
        <w:gridCol w:w="738"/>
      </w:tblGrid>
      <w:tr w:rsidR="00FC1BC7">
        <w:trPr>
          <w:trHeight w:val="70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结构形式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主要内容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单位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指标值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备注</w:t>
            </w:r>
          </w:p>
        </w:tc>
      </w:tr>
      <w:tr w:rsidR="00FC1BC7">
        <w:trPr>
          <w:trHeight w:val="862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简易搭盖</w:t>
            </w:r>
          </w:p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拆除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主要为铁皮、泥木、瓦房、广告牌结构等相关简易违章建构筑物的拆除工作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元/㎡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4-8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BC7" w:rsidRDefault="00FC1BC7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</w:p>
        </w:tc>
      </w:tr>
      <w:tr w:rsidR="00FC1BC7">
        <w:trPr>
          <w:trHeight w:val="925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砖混拆除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主要为砖混结构的厂房、民房等相关违章建构筑物的拆除工作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元/㎡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6-16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BC7" w:rsidRDefault="00FC1BC7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</w:p>
        </w:tc>
      </w:tr>
      <w:tr w:rsidR="00FC1BC7">
        <w:trPr>
          <w:trHeight w:val="95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框架拆除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主要为钢框架结构、钢筋混凝土框架结构的违章厂房、多层民房建筑物的拆除工作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元/㎡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13-23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BC7" w:rsidRDefault="00FC1BC7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</w:p>
        </w:tc>
      </w:tr>
      <w:tr w:rsidR="00FC1BC7">
        <w:trPr>
          <w:trHeight w:val="904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铺装拆除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主要为违法侵占土地、水环境等水泥地等地面铺装破除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元/㎡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10-20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BC7" w:rsidRDefault="00FC1BC7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</w:p>
        </w:tc>
      </w:tr>
      <w:tr w:rsidR="00FC1BC7">
        <w:trPr>
          <w:trHeight w:val="861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其他建筑物人工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主要为机械无法入场、结构较为复杂，以纯人工拆除的</w:t>
            </w:r>
            <w:proofErr w:type="gramStart"/>
            <w:r>
              <w:rPr>
                <w:rFonts w:ascii="宋体" w:eastAsia="宋体" w:hAnsi="宋体" w:cs="宋体" w:hint="eastAsia"/>
              </w:rPr>
              <w:t>违建费用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元/㎡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jc w:val="center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40-60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BC7" w:rsidRDefault="00FC1BC7">
            <w:pPr>
              <w:pStyle w:val="a6"/>
              <w:widowControl/>
              <w:spacing w:before="0" w:beforeAutospacing="0" w:after="0" w:afterAutospacing="0"/>
              <w:jc w:val="both"/>
              <w:textAlignment w:val="baseline"/>
              <w:rPr>
                <w:rFonts w:ascii="宋体" w:eastAsia="宋体" w:hAnsi="宋体" w:cs="宋体"/>
              </w:rPr>
            </w:pPr>
          </w:p>
        </w:tc>
      </w:tr>
      <w:tr w:rsidR="00FC1BC7">
        <w:trPr>
          <w:trHeight w:val="2256"/>
          <w:jc w:val="center"/>
        </w:trPr>
        <w:tc>
          <w:tcPr>
            <w:tcW w:w="8763" w:type="dxa"/>
            <w:gridSpan w:val="6"/>
            <w:tcBorders>
              <w:top w:val="single" w:sz="4" w:space="0" w:color="auto"/>
            </w:tcBorders>
          </w:tcPr>
          <w:p w:rsidR="00FC1BC7" w:rsidRDefault="00677576">
            <w:pPr>
              <w:pStyle w:val="a6"/>
              <w:widowControl/>
              <w:spacing w:before="0" w:beforeAutospacing="0" w:after="0" w:afterAutospacing="0"/>
              <w:ind w:left="960" w:hangingChars="400" w:hanging="960"/>
              <w:jc w:val="both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注：1.以上指标包含拆除人材机、误餐费用；</w:t>
            </w:r>
          </w:p>
          <w:p w:rsidR="00FC1BC7" w:rsidRDefault="00677576">
            <w:pPr>
              <w:pStyle w:val="a6"/>
              <w:widowControl/>
              <w:spacing w:before="0" w:beforeAutospacing="0" w:after="0" w:afterAutospacing="0"/>
              <w:ind w:leftChars="242" w:left="508"/>
              <w:jc w:val="both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2.以上指标不含工作经费、拆除后残值处理、垃圾清运处置、安保维稳等其他费用；</w:t>
            </w:r>
          </w:p>
          <w:p w:rsidR="00FC1BC7" w:rsidRDefault="00677576">
            <w:pPr>
              <w:pStyle w:val="a6"/>
              <w:widowControl/>
              <w:spacing w:before="0" w:beforeAutospacing="0" w:after="0" w:afterAutospacing="0"/>
              <w:ind w:leftChars="242" w:left="508"/>
              <w:jc w:val="both"/>
              <w:textAlignment w:val="baseline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</w:rPr>
              <w:t>当拆违建筑</w:t>
            </w:r>
            <w:proofErr w:type="gramEnd"/>
            <w:r>
              <w:rPr>
                <w:rFonts w:ascii="宋体" w:eastAsia="宋体" w:hAnsi="宋体" w:cs="宋体" w:hint="eastAsia"/>
              </w:rPr>
              <w:t>所处环境便于各种机械进出使用，拆除机械化使用程度高，拆除难度低，参照指标值偏下限计价。</w:t>
            </w:r>
            <w:proofErr w:type="gramStart"/>
            <w:r>
              <w:rPr>
                <w:rFonts w:ascii="宋体" w:eastAsia="宋体" w:hAnsi="宋体" w:cs="宋体" w:hint="eastAsia"/>
              </w:rPr>
              <w:t>当拆违建筑</w:t>
            </w:r>
            <w:proofErr w:type="gramEnd"/>
            <w:r>
              <w:rPr>
                <w:rFonts w:ascii="宋体" w:eastAsia="宋体" w:hAnsi="宋体" w:cs="宋体" w:hint="eastAsia"/>
              </w:rPr>
              <w:t>所处环境不便于各种机械进出使用，拆违难度大且普遍使用人工、机械化程度低，参照指标值偏上限计价。</w:t>
            </w:r>
          </w:p>
        </w:tc>
      </w:tr>
    </w:tbl>
    <w:p w:rsidR="00FC1BC7" w:rsidRDefault="00FC1BC7">
      <w:pPr>
        <w:tabs>
          <w:tab w:val="left" w:pos="312"/>
        </w:tabs>
        <w:rPr>
          <w:sz w:val="28"/>
          <w:szCs w:val="28"/>
        </w:rPr>
      </w:pPr>
    </w:p>
    <w:p w:rsidR="00FC1BC7" w:rsidRDefault="00FC1BC7">
      <w:pPr>
        <w:tabs>
          <w:tab w:val="left" w:pos="312"/>
        </w:tabs>
        <w:rPr>
          <w:sz w:val="28"/>
          <w:szCs w:val="28"/>
        </w:rPr>
      </w:pPr>
    </w:p>
    <w:p w:rsidR="00FC1BC7" w:rsidRDefault="00FC1BC7">
      <w:pPr>
        <w:tabs>
          <w:tab w:val="left" w:pos="312"/>
        </w:tabs>
        <w:rPr>
          <w:sz w:val="28"/>
          <w:szCs w:val="28"/>
        </w:rPr>
      </w:pPr>
    </w:p>
    <w:p w:rsidR="00FC1BC7" w:rsidRDefault="00FC1BC7">
      <w:pPr>
        <w:pStyle w:val="a0"/>
        <w:rPr>
          <w:sz w:val="28"/>
          <w:szCs w:val="28"/>
        </w:rPr>
      </w:pPr>
    </w:p>
    <w:p w:rsidR="00FC1BC7" w:rsidRDefault="00FC1BC7">
      <w:pPr>
        <w:rPr>
          <w:sz w:val="28"/>
          <w:szCs w:val="28"/>
        </w:rPr>
      </w:pPr>
    </w:p>
    <w:p w:rsidR="00FC1BC7" w:rsidRDefault="00FC1BC7">
      <w:pPr>
        <w:tabs>
          <w:tab w:val="left" w:pos="312"/>
        </w:tabs>
        <w:rPr>
          <w:rFonts w:ascii="Cambria" w:hAnsi="Cambria"/>
          <w:b/>
          <w:bCs/>
          <w:sz w:val="28"/>
          <w:szCs w:val="28"/>
        </w:rPr>
      </w:pPr>
    </w:p>
    <w:p w:rsidR="005F5AA3" w:rsidRPr="005F5AA3" w:rsidRDefault="005F5AA3" w:rsidP="005F5AA3">
      <w:pPr>
        <w:pStyle w:val="a0"/>
      </w:pPr>
    </w:p>
    <w:p w:rsidR="00FC1BC7" w:rsidRDefault="00677576">
      <w:pPr>
        <w:tabs>
          <w:tab w:val="left" w:pos="312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FC1BC7" w:rsidRDefault="0067757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拆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违工程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零星台班价格参考</w:t>
      </w:r>
    </w:p>
    <w:tbl>
      <w:tblPr>
        <w:tblpPr w:leftFromText="180" w:rightFromText="180" w:vertAnchor="text" w:horzAnchor="page" w:tblpXSpec="center" w:tblpY="302"/>
        <w:tblOverlap w:val="never"/>
        <w:tblW w:w="8643" w:type="dxa"/>
        <w:tblLayout w:type="fixed"/>
        <w:tblLook w:val="04A0"/>
      </w:tblPr>
      <w:tblGrid>
        <w:gridCol w:w="699"/>
        <w:gridCol w:w="3708"/>
        <w:gridCol w:w="933"/>
        <w:gridCol w:w="941"/>
        <w:gridCol w:w="2362"/>
      </w:tblGrid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机械设备（人工）名称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参考单价（元）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工日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180-230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技工（水、电、气割、空压机等技工）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工日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250-300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现场安全维护、管理、协调等人员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工日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200-250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小四轮工具车（含驾驶员等）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350-400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拖拉机4轮（彪马类型）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450-500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拖拉机6轮（彪马类型）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850-950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小型挖掘机（60-100型）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800-1400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中型挖掘机（120型）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1500-1800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大型挖掘机（200-230型）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1600-2500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大型挖掘机长臂配剪刀机（200-230型）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10000-15000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大型长臂（8~15米）挖掘机</w:t>
            </w:r>
          </w:p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（300型）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4200-4500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大型长臂（18~20米）挖掘机</w:t>
            </w:r>
          </w:p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（360型）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7000-7500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大型长臂（25米）挖掘机</w:t>
            </w:r>
          </w:p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（400型）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17000-19000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小型柴油空压机</w:t>
            </w:r>
          </w:p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（单头、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含操作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人员费用）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800-900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小型柴油空压机</w:t>
            </w:r>
          </w:p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（双头、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含操作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人员费用）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1400-1600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小型破碎机（60~100型）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1500-1700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中型破碎机（120型）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2100-2500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大型破碎机（200-210型）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3200-3600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大型破碎机（450-460型）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6400-7200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小型吊车（8T）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900-1100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中型吊车（20T）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1400-1600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大型吊车（25T）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2300-2700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单桥工程车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800-1200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双桥工程车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160-1900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气割组（含设备、气割人员等）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组/天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500-800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小型铲车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400-700</w:t>
            </w:r>
          </w:p>
        </w:tc>
      </w:tr>
      <w:tr w:rsidR="00FC1BC7">
        <w:trPr>
          <w:trHeight w:val="6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C7" w:rsidRDefault="0067757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中型铲车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800-1200</w:t>
            </w:r>
          </w:p>
        </w:tc>
      </w:tr>
      <w:tr w:rsidR="00FC1BC7">
        <w:trPr>
          <w:trHeight w:val="608"/>
        </w:trPr>
        <w:tc>
          <w:tcPr>
            <w:tcW w:w="8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BC7" w:rsidRDefault="00677576">
            <w:pPr>
              <w:tabs>
                <w:tab w:val="left" w:pos="312"/>
              </w:tabs>
              <w:ind w:left="480" w:hangingChars="200" w:hanging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注：1.以上机械一台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班按照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8小时考虑，单价均已考虑一次进退场费用并已包含所需的机上人工；</w:t>
            </w:r>
          </w:p>
          <w:p w:rsidR="00FC1BC7" w:rsidRDefault="00677576">
            <w:pPr>
              <w:tabs>
                <w:tab w:val="left" w:pos="312"/>
              </w:tabs>
              <w:ind w:leftChars="228" w:left="479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2.其余机械台班如在台州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中有发布的，则按照机械使用期对应的台州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发布单价计取；</w:t>
            </w:r>
          </w:p>
          <w:p w:rsidR="00FC1BC7" w:rsidRDefault="00677576">
            <w:pPr>
              <w:tabs>
                <w:tab w:val="left" w:pos="312"/>
              </w:tabs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3.以上单价均已包含管理费、风险费、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费、利润、税金等全部费用；</w:t>
            </w:r>
          </w:p>
          <w:p w:rsidR="00FC1BC7" w:rsidRDefault="00677576">
            <w:pPr>
              <w:tabs>
                <w:tab w:val="left" w:pos="312"/>
              </w:tabs>
              <w:ind w:leftChars="228" w:left="479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4.因拆违实际情况有所不同，未尽机械台班项目及价格参考各地市场信息价。</w:t>
            </w:r>
          </w:p>
          <w:p w:rsidR="00FC1BC7" w:rsidRDefault="00FC1B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C1BC7" w:rsidRDefault="00FC1BC7">
      <w:pPr>
        <w:tabs>
          <w:tab w:val="left" w:pos="312"/>
        </w:tabs>
        <w:rPr>
          <w:rFonts w:ascii="宋体" w:eastAsia="宋体" w:hAnsi="宋体" w:cs="宋体"/>
          <w:color w:val="000000"/>
          <w:kern w:val="0"/>
          <w:sz w:val="24"/>
        </w:rPr>
      </w:pPr>
    </w:p>
    <w:p w:rsidR="00FC1BC7" w:rsidRDefault="00FC1BC7"/>
    <w:p w:rsidR="00FC1BC7" w:rsidRDefault="00FC1BC7">
      <w:pPr>
        <w:pStyle w:val="a0"/>
        <w:jc w:val="both"/>
      </w:pPr>
    </w:p>
    <w:sectPr w:rsidR="00FC1BC7" w:rsidSect="00FC1BC7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2D" w:rsidRDefault="007F732D" w:rsidP="00FC1BC7">
      <w:r>
        <w:separator/>
      </w:r>
    </w:p>
  </w:endnote>
  <w:endnote w:type="continuationSeparator" w:id="0">
    <w:p w:rsidR="007F732D" w:rsidRDefault="007F732D" w:rsidP="00FC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C7" w:rsidRDefault="003938F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 filled="f" stroked="f" strokeweight=".5pt">
          <v:textbox style="mso-fit-shape-to-text:t" inset="0,0,0,0">
            <w:txbxContent>
              <w:p w:rsidR="00FC1BC7" w:rsidRDefault="003938F6">
                <w:pPr>
                  <w:pStyle w:val="a4"/>
                </w:pPr>
                <w:r>
                  <w:fldChar w:fldCharType="begin"/>
                </w:r>
                <w:r w:rsidR="00677576">
                  <w:instrText xml:space="preserve"> PAGE  \* MERGEFORMAT </w:instrText>
                </w:r>
                <w:r>
                  <w:fldChar w:fldCharType="separate"/>
                </w:r>
                <w:r w:rsidR="00BA20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2D" w:rsidRDefault="007F732D" w:rsidP="00FC1BC7">
      <w:r>
        <w:separator/>
      </w:r>
    </w:p>
  </w:footnote>
  <w:footnote w:type="continuationSeparator" w:id="0">
    <w:p w:rsidR="007F732D" w:rsidRDefault="007F732D" w:rsidP="00FC1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7B5D37"/>
    <w:rsid w:val="00154EBC"/>
    <w:rsid w:val="00176C9C"/>
    <w:rsid w:val="00307B82"/>
    <w:rsid w:val="003938F6"/>
    <w:rsid w:val="00395524"/>
    <w:rsid w:val="005801FC"/>
    <w:rsid w:val="005F5AA3"/>
    <w:rsid w:val="00623DA5"/>
    <w:rsid w:val="00677576"/>
    <w:rsid w:val="00746D2E"/>
    <w:rsid w:val="007F732D"/>
    <w:rsid w:val="00982B2C"/>
    <w:rsid w:val="00AC079C"/>
    <w:rsid w:val="00AF24E1"/>
    <w:rsid w:val="00AF2F16"/>
    <w:rsid w:val="00BA2092"/>
    <w:rsid w:val="00C14832"/>
    <w:rsid w:val="00C22192"/>
    <w:rsid w:val="00C63D50"/>
    <w:rsid w:val="00DE0D0B"/>
    <w:rsid w:val="00EF2709"/>
    <w:rsid w:val="00F67DB3"/>
    <w:rsid w:val="00FC1BC7"/>
    <w:rsid w:val="01AB257D"/>
    <w:rsid w:val="06FF6BC6"/>
    <w:rsid w:val="08014EAD"/>
    <w:rsid w:val="096238B5"/>
    <w:rsid w:val="100F1B09"/>
    <w:rsid w:val="10A757C6"/>
    <w:rsid w:val="16C21698"/>
    <w:rsid w:val="171F4D5B"/>
    <w:rsid w:val="18D2450E"/>
    <w:rsid w:val="19A25DFE"/>
    <w:rsid w:val="19E70DF0"/>
    <w:rsid w:val="1DD6528D"/>
    <w:rsid w:val="1E1B1607"/>
    <w:rsid w:val="1E345FFE"/>
    <w:rsid w:val="1EE505E2"/>
    <w:rsid w:val="2065215A"/>
    <w:rsid w:val="20DB31ED"/>
    <w:rsid w:val="23A7769B"/>
    <w:rsid w:val="24BE1F4F"/>
    <w:rsid w:val="294B46A5"/>
    <w:rsid w:val="2A8916CB"/>
    <w:rsid w:val="2B2C20A0"/>
    <w:rsid w:val="2C8F261B"/>
    <w:rsid w:val="3015556B"/>
    <w:rsid w:val="30E526C7"/>
    <w:rsid w:val="30FF0AF3"/>
    <w:rsid w:val="31427C80"/>
    <w:rsid w:val="34535498"/>
    <w:rsid w:val="347D6AEA"/>
    <w:rsid w:val="37CF0979"/>
    <w:rsid w:val="3B38360D"/>
    <w:rsid w:val="41E2192D"/>
    <w:rsid w:val="41EC230D"/>
    <w:rsid w:val="42065720"/>
    <w:rsid w:val="467B5D37"/>
    <w:rsid w:val="489910B6"/>
    <w:rsid w:val="4AAB3CB3"/>
    <w:rsid w:val="5B02587B"/>
    <w:rsid w:val="5C354101"/>
    <w:rsid w:val="604905D2"/>
    <w:rsid w:val="62135F90"/>
    <w:rsid w:val="63720952"/>
    <w:rsid w:val="6BFD7AC3"/>
    <w:rsid w:val="6D07256C"/>
    <w:rsid w:val="6F31463A"/>
    <w:rsid w:val="748603E1"/>
    <w:rsid w:val="7CA476EA"/>
    <w:rsid w:val="7FFCC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C1B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1BC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FC1BC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footer"/>
    <w:basedOn w:val="a"/>
    <w:qFormat/>
    <w:rsid w:val="00FC1B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C1B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C1BC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uiPriority w:val="99"/>
    <w:semiHidden/>
    <w:qFormat/>
    <w:rsid w:val="00FC1B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520</Words>
  <Characters>2966</Characters>
  <Application>Microsoft Office Word</Application>
  <DocSecurity>0</DocSecurity>
  <Lines>24</Lines>
  <Paragraphs>6</Paragraphs>
  <ScaleCrop>false</ScaleCrop>
  <Company>微软中国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祝葛亮</dc:creator>
  <cp:lastModifiedBy>das</cp:lastModifiedBy>
  <cp:revision>6</cp:revision>
  <cp:lastPrinted>2021-04-28T06:33:00Z</cp:lastPrinted>
  <dcterms:created xsi:type="dcterms:W3CDTF">2021-04-28T03:40:00Z</dcterms:created>
  <dcterms:modified xsi:type="dcterms:W3CDTF">2021-04-30T08:43:00Z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63CE5E40A9C8434787C2635DBB172740</vt:lpwstr>
  </property>
</Properties>
</file>